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0" w:lineRule="exact"/>
        <w:ind w:left="248" w:hanging="248" w:hangingChars="31"/>
        <w:jc w:val="center"/>
        <w:rPr>
          <w:rFonts w:ascii="方正小标宋简体" w:hAnsi="华文中宋" w:eastAsia="方正小标宋简体"/>
          <w:color w:val="FF0000"/>
          <w:spacing w:val="40"/>
          <w:w w:val="50"/>
          <w:sz w:val="144"/>
          <w:szCs w:val="144"/>
        </w:rPr>
      </w:pPr>
      <w:bookmarkStart w:id="0" w:name="OLE_LINK2"/>
      <w:r>
        <w:rPr>
          <w:rFonts w:hint="eastAsia" w:ascii="方正小标宋简体" w:hAnsi="华文中宋" w:eastAsia="方正小标宋简体"/>
          <w:color w:val="FF0000"/>
          <w:spacing w:val="40"/>
          <w:w w:val="50"/>
          <w:sz w:val="144"/>
          <w:szCs w:val="144"/>
        </w:rPr>
        <w:t>枣庄市市中区人民政府</w:t>
      </w:r>
    </w:p>
    <w:p/>
    <w:p>
      <w:pPr>
        <w:rPr>
          <w:rFonts w:eastAsia="方正小标宋简体"/>
          <w:b/>
          <w:sz w:val="44"/>
          <w:szCs w:val="44"/>
        </w:rPr>
      </w:pPr>
      <w: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ge">
                  <wp:posOffset>3608070</wp:posOffset>
                </wp:positionV>
                <wp:extent cx="5788660" cy="3175"/>
                <wp:effectExtent l="0" t="12700" r="2540" b="12700"/>
                <wp:wrapNone/>
                <wp:docPr id="1" name="直接连接符 1"/>
                <wp:cNvGraphicFramePr/>
                <a:graphic xmlns:a="http://schemas.openxmlformats.org/drawingml/2006/main">
                  <a:graphicData uri="http://schemas.microsoft.com/office/word/2010/wordprocessingShape">
                    <wps:wsp>
                      <wps:cNvCnPr/>
                      <wps:spPr>
                        <a:xfrm>
                          <a:off x="0" y="0"/>
                          <a:ext cx="5788660" cy="3175"/>
                        </a:xfrm>
                        <a:prstGeom prst="line">
                          <a:avLst/>
                        </a:prstGeom>
                        <a:ln w="2540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284.1pt;height:0.25pt;width:455.8pt;mso-position-horizontal-relative:page;mso-position-vertical-relative:page;z-index:251659264;mso-width-relative:page;mso-height-relative:page;" filled="f" stroked="t" coordsize="21600,21600" o:gfxdata="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1AsEfaAAAADAEAAA8AAAAAAAAAAQAgAAAA&#10;IgAAAGRycy9kb3ducmV2LnhtbFBLAQIUABQAAAAIAIdO4kCINiKKCQIAAAUEAAAOAAAAAAAAAAEA&#10;IAAAACkBAABkcnMvZTJvRG9jLnhtbFBLBQYAAAAABgAGAFkBAACkBQAAAAA=&#10;">
                <v:fill on="f" focussize="0,0"/>
                <v:stroke weight="2pt" color="#FF0000" joinstyle="round"/>
                <v:imagedata o:title=""/>
                <o:lock v:ext="edit" aspectratio="f"/>
                <v:shadow on="t" obscured="f" color="#C0C0C0" opacity="65536f" offset="0pt,0pt" offset2="0pt,0pt" origin="0f,0f" matrix="65536f,0f,0f,65536f,0,0"/>
              </v:line>
            </w:pict>
          </mc:Fallback>
        </mc:AlternateContent>
      </w:r>
    </w:p>
    <w:p>
      <w:pPr>
        <w:jc w:val="center"/>
        <w:rPr>
          <w:rFonts w:eastAsia="楷体_GB2312"/>
          <w:b/>
          <w:bCs/>
          <w:sz w:val="32"/>
          <w:szCs w:val="32"/>
        </w:rPr>
      </w:pPr>
      <w:bookmarkStart w:id="1" w:name="_GoBack"/>
      <w:r>
        <w:rPr>
          <w:rFonts w:eastAsia="楷体_GB2312"/>
          <w:b/>
          <w:bCs/>
          <w:sz w:val="32"/>
          <w:szCs w:val="32"/>
        </w:rPr>
        <w:t>市中政字〔2024</w:t>
      </w:r>
      <w:r>
        <w:rPr>
          <w:rFonts w:eastAsia="楷体_GB2312"/>
          <w:b/>
          <w:bCs/>
          <w:spacing w:val="-12"/>
          <w:sz w:val="32"/>
          <w:szCs w:val="32"/>
        </w:rPr>
        <w:t>〕</w:t>
      </w:r>
      <w:r>
        <w:rPr>
          <w:rFonts w:hint="eastAsia" w:eastAsia="楷体_GB2312"/>
          <w:b/>
          <w:bCs/>
          <w:spacing w:val="-12"/>
          <w:sz w:val="32"/>
          <w:szCs w:val="32"/>
        </w:rPr>
        <w:t>2</w:t>
      </w:r>
      <w:r>
        <w:rPr>
          <w:rFonts w:eastAsia="楷体_GB2312"/>
          <w:b/>
          <w:bCs/>
          <w:spacing w:val="-12"/>
          <w:sz w:val="32"/>
          <w:szCs w:val="32"/>
        </w:rPr>
        <w:t>号</w:t>
      </w:r>
      <w:bookmarkEnd w:id="1"/>
    </w:p>
    <w:p>
      <w:pPr>
        <w:ind w:firstLine="643"/>
      </w:pPr>
    </w:p>
    <w:p>
      <w:pPr>
        <w:ind w:firstLine="643"/>
      </w:pPr>
    </w:p>
    <w:p>
      <w:pPr>
        <w:spacing w:line="640" w:lineRule="exact"/>
        <w:jc w:val="center"/>
        <w:rPr>
          <w:rFonts w:eastAsia="方正小标宋简体"/>
          <w:b/>
          <w:bCs/>
          <w:color w:val="000000"/>
          <w:sz w:val="44"/>
          <w:szCs w:val="44"/>
        </w:rPr>
      </w:pPr>
      <w:r>
        <w:rPr>
          <w:rFonts w:eastAsia="方正小标宋简体"/>
          <w:b/>
          <w:bCs/>
          <w:color w:val="000000"/>
          <w:sz w:val="44"/>
          <w:szCs w:val="44"/>
        </w:rPr>
        <w:t>枣庄市市中区人民政府</w:t>
      </w:r>
    </w:p>
    <w:p>
      <w:pPr>
        <w:pStyle w:val="11"/>
        <w:spacing w:line="640" w:lineRule="exact"/>
        <w:ind w:firstLine="0" w:firstLineChars="0"/>
        <w:jc w:val="center"/>
        <w:rPr>
          <w:rFonts w:ascii="Times New Roman" w:hAnsi="Times New Roman" w:eastAsia="方正小标宋简体" w:cs="Times New Roman"/>
          <w:b/>
          <w:sz w:val="44"/>
          <w:szCs w:val="44"/>
          <w:lang w:eastAsia="zh-CN"/>
        </w:rPr>
      </w:pPr>
      <w:r>
        <w:rPr>
          <w:rFonts w:ascii="Times New Roman" w:hAnsi="Times New Roman" w:eastAsia="方正小标宋简体" w:cs="Times New Roman"/>
          <w:b/>
          <w:bCs/>
          <w:color w:val="000000"/>
          <w:spacing w:val="-11"/>
          <w:sz w:val="44"/>
          <w:szCs w:val="44"/>
          <w:lang w:eastAsia="zh-CN"/>
        </w:rPr>
        <w:t>关于印发《</w:t>
      </w:r>
      <w:r>
        <w:rPr>
          <w:rFonts w:ascii="Times New Roman" w:hAnsi="Times New Roman" w:eastAsia="方正小标宋简体" w:cs="Times New Roman"/>
          <w:b/>
          <w:spacing w:val="-11"/>
          <w:sz w:val="44"/>
          <w:szCs w:val="44"/>
          <w:lang w:eastAsia="zh-CN"/>
        </w:rPr>
        <w:t>枣庄市市中区创建国家知识产权强县</w:t>
      </w:r>
      <w:r>
        <w:rPr>
          <w:rFonts w:ascii="Times New Roman" w:hAnsi="Times New Roman" w:eastAsia="方正小标宋简体" w:cs="Times New Roman"/>
          <w:b/>
          <w:spacing w:val="-17"/>
          <w:sz w:val="44"/>
          <w:szCs w:val="44"/>
          <w:lang w:eastAsia="zh-CN"/>
        </w:rPr>
        <w:t>建设试点县工作实施方案（2024—2026年）</w:t>
      </w:r>
      <w:r>
        <w:rPr>
          <w:rFonts w:ascii="Times New Roman" w:hAnsi="Times New Roman" w:eastAsia="方正小标宋简体" w:cs="Times New Roman"/>
          <w:b/>
          <w:bCs/>
          <w:color w:val="000000"/>
          <w:spacing w:val="-17"/>
          <w:sz w:val="44"/>
          <w:szCs w:val="44"/>
          <w:lang w:eastAsia="zh-CN"/>
        </w:rPr>
        <w:t>》的</w:t>
      </w:r>
      <w:r>
        <w:rPr>
          <w:rFonts w:ascii="Times New Roman" w:hAnsi="Times New Roman" w:eastAsia="方正小标宋简体" w:cs="Times New Roman"/>
          <w:b/>
          <w:bCs/>
          <w:color w:val="000000"/>
          <w:sz w:val="44"/>
          <w:szCs w:val="44"/>
          <w:lang w:eastAsia="zh-CN"/>
        </w:rPr>
        <w:t>通</w:t>
      </w:r>
      <w:r>
        <w:rPr>
          <w:rFonts w:hint="eastAsia" w:ascii="Times New Roman" w:hAnsi="Times New Roman" w:eastAsia="方正小标宋简体" w:cs="Times New Roman"/>
          <w:b/>
          <w:spacing w:val="-17"/>
          <w:sz w:val="44"/>
          <w:szCs w:val="44"/>
          <w:lang w:eastAsia="zh-CN"/>
        </w:rPr>
        <w:t xml:space="preserve">  </w:t>
      </w:r>
      <w:r>
        <w:rPr>
          <w:rFonts w:ascii="Times New Roman" w:hAnsi="Times New Roman" w:eastAsia="方正小标宋简体" w:cs="Times New Roman"/>
          <w:b/>
          <w:bCs/>
          <w:color w:val="000000"/>
          <w:sz w:val="44"/>
          <w:szCs w:val="44"/>
          <w:lang w:eastAsia="zh-CN"/>
        </w:rPr>
        <w:t>知</w:t>
      </w:r>
    </w:p>
    <w:p>
      <w:pPr>
        <w:spacing w:line="640" w:lineRule="exact"/>
        <w:ind w:firstLine="883"/>
        <w:rPr>
          <w:rFonts w:eastAsia="方正小标宋简体"/>
          <w:color w:val="000000"/>
          <w:sz w:val="44"/>
          <w:szCs w:val="44"/>
        </w:rPr>
      </w:pPr>
    </w:p>
    <w:p>
      <w:pPr>
        <w:spacing w:line="560" w:lineRule="exact"/>
        <w:rPr>
          <w:rFonts w:eastAsia="仿宋_GB2312"/>
          <w:b/>
          <w:bCs/>
          <w:sz w:val="32"/>
          <w:szCs w:val="32"/>
        </w:rPr>
      </w:pPr>
      <w:r>
        <w:rPr>
          <w:rFonts w:eastAsia="仿宋_GB2312"/>
          <w:b/>
          <w:bCs/>
          <w:sz w:val="32"/>
          <w:szCs w:val="32"/>
        </w:rPr>
        <w:t>各镇人民政府，各街道办事处，区政府有关部门：</w:t>
      </w:r>
    </w:p>
    <w:p>
      <w:pPr>
        <w:spacing w:line="560" w:lineRule="exact"/>
        <w:ind w:firstLine="643" w:firstLineChars="200"/>
        <w:rPr>
          <w:rFonts w:eastAsia="仿宋_GB2312"/>
          <w:b/>
          <w:bCs/>
          <w:sz w:val="32"/>
          <w:szCs w:val="32"/>
        </w:rPr>
      </w:pPr>
      <w:r>
        <w:rPr>
          <w:rFonts w:eastAsia="仿宋_GB2312"/>
          <w:b/>
          <w:bCs/>
          <w:sz w:val="32"/>
          <w:szCs w:val="32"/>
        </w:rPr>
        <w:t>现将《枣庄市市中区创建国家知识产权强县建设试点县工作实施方案（2024—2026年）》印发给你们，请认真抓好贯彻落实。</w:t>
      </w:r>
    </w:p>
    <w:p>
      <w:pPr>
        <w:spacing w:line="560" w:lineRule="exact"/>
        <w:ind w:firstLine="643" w:firstLineChars="200"/>
        <w:jc w:val="right"/>
        <w:rPr>
          <w:rFonts w:eastAsia="仿宋_GB2312"/>
          <w:b/>
          <w:bCs/>
          <w:sz w:val="32"/>
          <w:szCs w:val="32"/>
        </w:rPr>
      </w:pPr>
    </w:p>
    <w:p>
      <w:pPr>
        <w:spacing w:line="560" w:lineRule="exact"/>
        <w:ind w:firstLine="643" w:firstLineChars="200"/>
        <w:jc w:val="right"/>
        <w:rPr>
          <w:rFonts w:eastAsia="仿宋_GB2312"/>
          <w:b/>
          <w:bCs/>
          <w:sz w:val="32"/>
          <w:szCs w:val="32"/>
        </w:rPr>
      </w:pPr>
    </w:p>
    <w:p>
      <w:pPr>
        <w:spacing w:line="560" w:lineRule="exact"/>
        <w:ind w:firstLine="643" w:firstLineChars="200"/>
        <w:jc w:val="right"/>
        <w:rPr>
          <w:rFonts w:eastAsia="仿宋_GB2312"/>
          <w:b/>
          <w:bCs/>
          <w:sz w:val="32"/>
          <w:szCs w:val="32"/>
        </w:rPr>
      </w:pPr>
      <w:r>
        <w:rPr>
          <w:rFonts w:eastAsia="仿宋_GB2312"/>
          <w:b/>
          <w:bCs/>
          <w:sz w:val="32"/>
          <w:szCs w:val="32"/>
        </w:rPr>
        <w:t xml:space="preserve"> 枣庄市市中区人民政府</w:t>
      </w:r>
    </w:p>
    <w:p>
      <w:pPr>
        <w:spacing w:line="560" w:lineRule="exact"/>
        <w:ind w:right="320" w:firstLine="643" w:firstLineChars="200"/>
        <w:jc w:val="right"/>
        <w:rPr>
          <w:rFonts w:eastAsia="仿宋_GB2312"/>
          <w:b/>
          <w:bCs/>
          <w:sz w:val="32"/>
          <w:szCs w:val="32"/>
        </w:rPr>
      </w:pPr>
      <w:r>
        <w:rPr>
          <w:rFonts w:eastAsia="仿宋_GB2312"/>
          <w:b/>
          <w:bCs/>
          <w:sz w:val="32"/>
          <w:szCs w:val="32"/>
        </w:rPr>
        <w:t>2024年2月</w:t>
      </w:r>
      <w:r>
        <w:rPr>
          <w:rFonts w:hint="eastAsia" w:eastAsia="仿宋_GB2312"/>
          <w:b/>
          <w:bCs/>
          <w:sz w:val="32"/>
          <w:szCs w:val="32"/>
        </w:rPr>
        <w:t>29</w:t>
      </w:r>
      <w:r>
        <w:rPr>
          <w:rFonts w:eastAsia="仿宋_GB2312"/>
          <w:b/>
          <w:bCs/>
          <w:sz w:val="32"/>
          <w:szCs w:val="32"/>
        </w:rPr>
        <w:t>日</w:t>
      </w:r>
    </w:p>
    <w:p>
      <w:pPr>
        <w:spacing w:line="560" w:lineRule="exact"/>
        <w:ind w:firstLine="643" w:firstLineChars="200"/>
        <w:rPr>
          <w:rFonts w:eastAsia="仿宋_GB2312"/>
          <w:b/>
          <w:bCs/>
          <w:sz w:val="32"/>
          <w:szCs w:val="32"/>
        </w:rPr>
      </w:pPr>
      <w:r>
        <w:rPr>
          <w:rFonts w:hint="eastAsia" w:eastAsia="仿宋_GB2312"/>
          <w:b/>
          <w:bCs/>
          <w:sz w:val="32"/>
          <w:szCs w:val="32"/>
        </w:rPr>
        <w:t>（此件公开发布）</w:t>
      </w:r>
    </w:p>
    <w:p>
      <w:pPr>
        <w:pStyle w:val="11"/>
        <w:spacing w:line="640" w:lineRule="exact"/>
        <w:ind w:firstLine="0" w:firstLineChars="0"/>
        <w:jc w:val="center"/>
        <w:rPr>
          <w:rFonts w:ascii="Times New Roman" w:hAnsi="Times New Roman" w:eastAsia="方正小标宋简体" w:cs="Times New Roman"/>
          <w:b/>
          <w:sz w:val="44"/>
          <w:szCs w:val="44"/>
          <w:lang w:eastAsia="zh-CN"/>
        </w:rPr>
      </w:pPr>
    </w:p>
    <w:p>
      <w:pPr>
        <w:pStyle w:val="11"/>
        <w:spacing w:line="640" w:lineRule="exact"/>
        <w:ind w:firstLine="0" w:firstLineChars="0"/>
        <w:jc w:val="center"/>
        <w:rPr>
          <w:rFonts w:ascii="Times New Roman" w:hAnsi="Times New Roman" w:eastAsia="方正小标宋简体" w:cs="Times New Roman"/>
          <w:b/>
          <w:sz w:val="44"/>
          <w:szCs w:val="44"/>
          <w:lang w:eastAsia="zh-CN"/>
        </w:rPr>
      </w:pPr>
      <w:r>
        <w:rPr>
          <w:rFonts w:ascii="Times New Roman" w:hAnsi="Times New Roman" w:eastAsia="方正小标宋简体" w:cs="Times New Roman"/>
          <w:b/>
          <w:sz w:val="44"/>
          <w:szCs w:val="44"/>
          <w:lang w:eastAsia="zh-CN"/>
        </w:rPr>
        <w:t>枣庄市市中区创建国家知识产权强县建设</w:t>
      </w:r>
    </w:p>
    <w:p>
      <w:pPr>
        <w:pStyle w:val="11"/>
        <w:spacing w:line="640" w:lineRule="exact"/>
        <w:ind w:firstLine="0" w:firstLineChars="0"/>
        <w:jc w:val="center"/>
        <w:rPr>
          <w:rFonts w:ascii="Times New Roman" w:hAnsi="Times New Roman" w:eastAsia="方正小标宋简体" w:cs="Times New Roman"/>
          <w:b/>
          <w:sz w:val="44"/>
          <w:szCs w:val="44"/>
          <w:lang w:eastAsia="zh-CN"/>
        </w:rPr>
      </w:pPr>
      <w:r>
        <w:rPr>
          <w:rFonts w:ascii="Times New Roman" w:hAnsi="Times New Roman" w:eastAsia="方正小标宋简体" w:cs="Times New Roman"/>
          <w:b/>
          <w:sz w:val="44"/>
          <w:szCs w:val="44"/>
          <w:lang w:eastAsia="zh-CN"/>
        </w:rPr>
        <w:t>试点县工作实施方案（2024—2026年）</w:t>
      </w:r>
    </w:p>
    <w:p>
      <w:pPr>
        <w:pStyle w:val="11"/>
        <w:spacing w:line="560" w:lineRule="exact"/>
        <w:ind w:firstLine="0" w:firstLineChars="0"/>
        <w:rPr>
          <w:rFonts w:ascii="Times New Roman" w:hAnsi="Times New Roman" w:eastAsia="黑体" w:cs="Times New Roman"/>
          <w:b/>
          <w:bCs/>
          <w:color w:val="000000" w:themeColor="text1"/>
          <w:sz w:val="36"/>
          <w:szCs w:val="36"/>
          <w:lang w:eastAsia="zh-CN"/>
        </w:rPr>
      </w:pPr>
    </w:p>
    <w:p>
      <w:pPr>
        <w:spacing w:line="560" w:lineRule="exact"/>
        <w:ind w:firstLine="643" w:firstLineChars="200"/>
        <w:rPr>
          <w:rFonts w:eastAsia="仿宋_GB2312"/>
          <w:b/>
          <w:sz w:val="32"/>
          <w:szCs w:val="32"/>
        </w:rPr>
      </w:pPr>
      <w:r>
        <w:rPr>
          <w:rFonts w:eastAsia="仿宋_GB2312"/>
          <w:b/>
          <w:sz w:val="32"/>
          <w:szCs w:val="32"/>
        </w:rPr>
        <w:t>为进一步提高我区知识产权创造、运用、保护、管理和服务的能力与水平，充分发挥知识产权对经济社会发展的助推作用，确保我区创建国家知识产权强县建设试点县取得实效，根据《知识产权强国建设纲要（2021—2035年）》《“十四五”国家知识产权保护和运用规划》精神，结合我区知识产权工作实际，制定本工作实施方案。</w:t>
      </w:r>
    </w:p>
    <w:p>
      <w:pPr>
        <w:spacing w:line="560" w:lineRule="exact"/>
        <w:ind w:firstLine="643" w:firstLineChars="200"/>
        <w:rPr>
          <w:rFonts w:eastAsia="黑体"/>
          <w:b/>
          <w:sz w:val="32"/>
          <w:szCs w:val="32"/>
        </w:rPr>
      </w:pPr>
      <w:r>
        <w:rPr>
          <w:rFonts w:eastAsia="黑体"/>
          <w:b/>
          <w:sz w:val="32"/>
          <w:szCs w:val="32"/>
        </w:rPr>
        <w:t>一、指导思想 </w:t>
      </w:r>
    </w:p>
    <w:p>
      <w:pPr>
        <w:spacing w:line="560" w:lineRule="exact"/>
        <w:ind w:firstLine="643" w:firstLineChars="200"/>
        <w:rPr>
          <w:rFonts w:eastAsia="仿宋_GB2312"/>
          <w:b/>
          <w:sz w:val="32"/>
          <w:szCs w:val="32"/>
        </w:rPr>
      </w:pPr>
      <w:r>
        <w:rPr>
          <w:rFonts w:eastAsia="仿宋_GB2312"/>
          <w:b/>
          <w:sz w:val="32"/>
          <w:szCs w:val="32"/>
        </w:rPr>
        <w:t>坚持纵深推进“工业强区、产业兴区、城建立区”战略，锚定“强工兴产、转型突围”目标，紧紧围绕国家知识产权战略，以增强市中区经济综合竞争力为目标，以强化知识产权保护和管理为支撑，积极营造有利于知识产权发展的环境。围绕我区龙头支柱产业、重点优势企业实施知识产权促进计划，推进创新建设，切实发挥知识产权在我区经济发展中的作用，为创建国家知识产权强县建设试点县，促进产业转型升级，构建高质量发展提供强有力的知识产权支撑和保障。</w:t>
      </w:r>
    </w:p>
    <w:p>
      <w:pPr>
        <w:spacing w:line="560" w:lineRule="exact"/>
        <w:ind w:firstLine="643" w:firstLineChars="200"/>
        <w:rPr>
          <w:rFonts w:eastAsia="黑体"/>
          <w:b/>
          <w:sz w:val="32"/>
          <w:szCs w:val="32"/>
        </w:rPr>
      </w:pPr>
      <w:r>
        <w:rPr>
          <w:rFonts w:eastAsia="黑体"/>
          <w:b/>
          <w:sz w:val="32"/>
          <w:szCs w:val="32"/>
        </w:rPr>
        <w:t>二、工作目标</w:t>
      </w:r>
    </w:p>
    <w:p>
      <w:pPr>
        <w:spacing w:line="560" w:lineRule="exact"/>
        <w:ind w:firstLine="643" w:firstLineChars="200"/>
        <w:rPr>
          <w:rFonts w:eastAsia="楷体_GB2312"/>
          <w:b/>
          <w:sz w:val="32"/>
          <w:szCs w:val="32"/>
        </w:rPr>
      </w:pPr>
      <w:r>
        <w:rPr>
          <w:rFonts w:eastAsia="楷体_GB2312"/>
          <w:b/>
          <w:sz w:val="32"/>
          <w:szCs w:val="32"/>
        </w:rPr>
        <w:t>（一）总体目标 </w:t>
      </w:r>
    </w:p>
    <w:p>
      <w:pPr>
        <w:spacing w:line="580" w:lineRule="exact"/>
        <w:ind w:firstLine="643" w:firstLineChars="200"/>
        <w:rPr>
          <w:rFonts w:eastAsia="仿宋_GB2312"/>
          <w:b/>
          <w:sz w:val="32"/>
          <w:szCs w:val="32"/>
        </w:rPr>
      </w:pPr>
      <w:r>
        <w:rPr>
          <w:rFonts w:eastAsia="仿宋_GB2312"/>
          <w:b/>
          <w:sz w:val="32"/>
          <w:szCs w:val="32"/>
        </w:rPr>
        <w:t>国家知识产权强县建设试点县建设期限为三年（2024—2026年）。力争用3年时间，使我区在推动、协调、管理知识产权工作方面绩效显著增强，知识产权保护更加严格，企业自主知识产权拥有量和水平有较大幅度的提高，在重点领域和关键技术的自主知识产权方面取得较大突破。培育一批拥有自主知识产权、竞争力较强的知名品牌，知识产权市场价值更加凸显，知识产权服务品质显著提升，知识产权运用效率明显增强，知识产权支撑经济社会高质量发展更加有力。</w:t>
      </w:r>
    </w:p>
    <w:p>
      <w:pPr>
        <w:spacing w:line="580" w:lineRule="exact"/>
        <w:ind w:firstLine="643" w:firstLineChars="200"/>
        <w:rPr>
          <w:rFonts w:eastAsia="楷体_GB2312"/>
          <w:b/>
          <w:sz w:val="32"/>
          <w:szCs w:val="32"/>
        </w:rPr>
      </w:pPr>
      <w:r>
        <w:rPr>
          <w:rFonts w:eastAsia="楷体_GB2312"/>
          <w:b/>
          <w:sz w:val="32"/>
          <w:szCs w:val="32"/>
        </w:rPr>
        <w:t>（二）具体目标 </w:t>
      </w:r>
    </w:p>
    <w:p>
      <w:pPr>
        <w:spacing w:line="580" w:lineRule="exact"/>
        <w:ind w:firstLine="643" w:firstLineChars="200"/>
        <w:rPr>
          <w:rFonts w:eastAsia="仿宋_GB2312"/>
          <w:b/>
          <w:sz w:val="32"/>
          <w:szCs w:val="32"/>
        </w:rPr>
      </w:pPr>
      <w:r>
        <w:rPr>
          <w:rFonts w:eastAsia="仿宋_GB2312"/>
          <w:b/>
          <w:sz w:val="32"/>
          <w:szCs w:val="32"/>
        </w:rPr>
        <w:t>1.</w:t>
      </w:r>
      <w:r>
        <w:rPr>
          <w:rFonts w:eastAsiaTheme="minorEastAsia"/>
          <w:b/>
          <w:sz w:val="32"/>
          <w:szCs w:val="32"/>
        </w:rPr>
        <w:t>知识产权创造能力显著增强。</w:t>
      </w:r>
      <w:r>
        <w:rPr>
          <w:rFonts w:eastAsia="仿宋_GB2312"/>
          <w:b/>
          <w:sz w:val="32"/>
          <w:szCs w:val="32"/>
        </w:rPr>
        <w:t>全区专利授权量继续保持全市前列，到2026年底，发明专利拥有量达到600件，商标有效注册量达13000件，地理标志证明商标拥有量达7件，马德里国际注册商标拥有量达20件，累计组织实施4个以上企业或产业类专利导航项目。</w:t>
      </w:r>
    </w:p>
    <w:p>
      <w:pPr>
        <w:spacing w:line="580" w:lineRule="exact"/>
        <w:ind w:firstLine="643" w:firstLineChars="200"/>
        <w:rPr>
          <w:rFonts w:eastAsia="仿宋_GB2312"/>
          <w:b/>
          <w:sz w:val="32"/>
          <w:szCs w:val="32"/>
        </w:rPr>
      </w:pPr>
      <w:r>
        <w:rPr>
          <w:rFonts w:eastAsia="仿宋_GB2312"/>
          <w:b/>
          <w:sz w:val="32"/>
          <w:szCs w:val="32"/>
        </w:rPr>
        <w:t>2.</w:t>
      </w:r>
      <w:r>
        <w:rPr>
          <w:rFonts w:eastAsiaTheme="minorEastAsia"/>
          <w:b/>
          <w:sz w:val="32"/>
          <w:szCs w:val="32"/>
        </w:rPr>
        <w:t>知识产权运用效益快速提升。</w:t>
      </w:r>
      <w:r>
        <w:rPr>
          <w:rFonts w:eastAsia="仿宋_GB2312"/>
          <w:b/>
          <w:sz w:val="32"/>
          <w:szCs w:val="32"/>
        </w:rPr>
        <w:t>到2026年底，培育国家优势、示范企业达10家，知识产权贯标认证企业达到2家，知识产权质押贷款达3亿元以上，专利开放许可达到200项，专利密集型产品认定备案和数据知识产权工作实现突破性进展。</w:t>
      </w:r>
    </w:p>
    <w:p>
      <w:pPr>
        <w:spacing w:line="580" w:lineRule="exact"/>
        <w:ind w:firstLine="643" w:firstLineChars="200"/>
        <w:rPr>
          <w:rFonts w:eastAsia="仿宋_GB2312"/>
          <w:b/>
          <w:sz w:val="32"/>
          <w:szCs w:val="32"/>
        </w:rPr>
      </w:pPr>
      <w:r>
        <w:rPr>
          <w:rFonts w:eastAsia="仿宋_GB2312"/>
          <w:b/>
          <w:sz w:val="32"/>
          <w:szCs w:val="32"/>
        </w:rPr>
        <w:t>3.</w:t>
      </w:r>
      <w:r>
        <w:rPr>
          <w:rFonts w:eastAsiaTheme="majorEastAsia"/>
          <w:b/>
          <w:sz w:val="32"/>
          <w:szCs w:val="32"/>
        </w:rPr>
        <w:t>知识产权保护环境更加优化。</w:t>
      </w:r>
      <w:r>
        <w:rPr>
          <w:rFonts w:eastAsia="仿宋_GB2312"/>
          <w:b/>
          <w:sz w:val="32"/>
          <w:szCs w:val="32"/>
        </w:rPr>
        <w:t>到2026年底，联合法院办理知识产权纠纷行政调解司法确认案件12件以上，专利行政裁决案件15件以上，知识产权案件结案率达到90%以上，新增知识产权保护（维权）机构2个，维权援助服务企业达40家，非正常专利撤回率达到96%以上。</w:t>
      </w:r>
    </w:p>
    <w:p>
      <w:pPr>
        <w:spacing w:line="580" w:lineRule="exact"/>
        <w:ind w:firstLine="643" w:firstLineChars="200"/>
        <w:rPr>
          <w:rFonts w:eastAsia="仿宋_GB2312"/>
          <w:b/>
          <w:sz w:val="32"/>
          <w:szCs w:val="32"/>
        </w:rPr>
      </w:pPr>
      <w:r>
        <w:rPr>
          <w:rFonts w:eastAsia="仿宋_GB2312"/>
          <w:b/>
          <w:sz w:val="32"/>
          <w:szCs w:val="32"/>
        </w:rPr>
        <w:t>4.</w:t>
      </w:r>
      <w:r>
        <w:rPr>
          <w:rFonts w:eastAsiaTheme="minorEastAsia"/>
          <w:b/>
          <w:sz w:val="32"/>
          <w:szCs w:val="32"/>
        </w:rPr>
        <w:t>知识产权服务体系更加完善。</w:t>
      </w:r>
      <w:r>
        <w:rPr>
          <w:rFonts w:eastAsia="仿宋_GB2312"/>
          <w:b/>
          <w:sz w:val="32"/>
          <w:szCs w:val="32"/>
        </w:rPr>
        <w:t>培育一批专业化、高端化、国际化的知识产权服务机构，争取到2026年底商标品牌培育指导站达到15家。扎实开展知识产权宣传培训，宣传服务市场主体达到80户以上，新增知识产权人才达到50名以上，培训知识产权管理和执法人员、企业高管、知识产权师等各类人员达</w:t>
      </w:r>
      <w:r>
        <w:rPr>
          <w:rFonts w:hint="eastAsia" w:eastAsia="仿宋_GB2312"/>
          <w:b/>
          <w:sz w:val="32"/>
          <w:szCs w:val="32"/>
        </w:rPr>
        <w:t>到</w:t>
      </w:r>
      <w:r>
        <w:rPr>
          <w:rFonts w:eastAsia="仿宋_GB2312"/>
          <w:b/>
          <w:sz w:val="32"/>
          <w:szCs w:val="32"/>
        </w:rPr>
        <w:t>600人次。</w:t>
      </w:r>
    </w:p>
    <w:p>
      <w:pPr>
        <w:spacing w:line="560" w:lineRule="exact"/>
        <w:ind w:firstLine="643" w:firstLineChars="200"/>
        <w:rPr>
          <w:rFonts w:eastAsia="黑体"/>
          <w:b/>
          <w:sz w:val="32"/>
          <w:szCs w:val="32"/>
        </w:rPr>
      </w:pPr>
      <w:r>
        <w:rPr>
          <w:rFonts w:eastAsia="黑体"/>
          <w:b/>
          <w:sz w:val="32"/>
          <w:szCs w:val="32"/>
        </w:rPr>
        <w:t>三、推进措施</w:t>
      </w:r>
    </w:p>
    <w:p>
      <w:pPr>
        <w:spacing w:line="560" w:lineRule="exact"/>
        <w:ind w:firstLine="643" w:firstLineChars="200"/>
        <w:rPr>
          <w:rFonts w:eastAsia="楷体_GB2312"/>
          <w:b/>
          <w:sz w:val="32"/>
          <w:szCs w:val="32"/>
        </w:rPr>
      </w:pPr>
      <w:r>
        <w:rPr>
          <w:rFonts w:eastAsia="楷体_GB2312"/>
          <w:b/>
          <w:sz w:val="32"/>
          <w:szCs w:val="32"/>
        </w:rPr>
        <w:t>（一）提升知识产权创造能力</w:t>
      </w:r>
    </w:p>
    <w:p>
      <w:pPr>
        <w:spacing w:line="560" w:lineRule="exact"/>
        <w:ind w:firstLine="643" w:firstLineChars="200"/>
        <w:rPr>
          <w:rFonts w:eastAsia="楷体_GB2312"/>
          <w:b/>
          <w:sz w:val="32"/>
          <w:szCs w:val="32"/>
        </w:rPr>
      </w:pPr>
      <w:r>
        <w:rPr>
          <w:rFonts w:eastAsia="仿宋_GB2312"/>
          <w:b/>
          <w:sz w:val="32"/>
          <w:szCs w:val="32"/>
        </w:rPr>
        <w:t>1.</w:t>
      </w:r>
      <w:r>
        <w:rPr>
          <w:rFonts w:eastAsiaTheme="minorEastAsia"/>
          <w:b/>
          <w:sz w:val="32"/>
          <w:szCs w:val="32"/>
        </w:rPr>
        <w:t>培育和引进高价值专利。</w:t>
      </w:r>
      <w:r>
        <w:rPr>
          <w:rFonts w:eastAsia="仿宋_GB2312"/>
          <w:b/>
          <w:sz w:val="32"/>
          <w:szCs w:val="32"/>
        </w:rPr>
        <w:t>以高价值专利培育、专利导航等为抓手，引导“小巨人”“瞪羚”“专精特新”企业优化创新路径，培育一批具有专利领先优势的“领头雁”企业；引导科技创新型企业从技术布局、类型布局、地域布局等多个维度构建专利组合；培育知识产权优势、示范企业，形成产业竞争新优势；动员高新技术、“专精特新”等企业，对符合条件的主导产品进行备案认定；鼓励企业和高校院所建立产学研合作机制，进行联合技术攻关突破技术难点，组织开展多层面的专利技术对接活动。</w:t>
      </w:r>
      <w:r>
        <w:rPr>
          <w:rFonts w:eastAsia="楷体_GB2312"/>
          <w:b/>
          <w:sz w:val="32"/>
          <w:szCs w:val="32"/>
        </w:rPr>
        <w:t>（责任单位：区科学技术局、区工业和信息化局、区市场监督管理局，各镇街）</w:t>
      </w:r>
    </w:p>
    <w:p>
      <w:pPr>
        <w:spacing w:line="560" w:lineRule="exact"/>
        <w:ind w:firstLine="643" w:firstLineChars="200"/>
        <w:rPr>
          <w:rFonts w:eastAsia="楷体_GB2312"/>
          <w:b/>
          <w:sz w:val="32"/>
          <w:szCs w:val="32"/>
        </w:rPr>
      </w:pPr>
      <w:r>
        <w:rPr>
          <w:rFonts w:eastAsia="仿宋_GB2312"/>
          <w:b/>
          <w:sz w:val="32"/>
          <w:szCs w:val="32"/>
        </w:rPr>
        <w:t>2.</w:t>
      </w:r>
      <w:r>
        <w:rPr>
          <w:rFonts w:eastAsiaTheme="minorEastAsia"/>
          <w:b/>
          <w:sz w:val="32"/>
          <w:szCs w:val="32"/>
        </w:rPr>
        <w:t>实施商标品牌战略。</w:t>
      </w:r>
      <w:r>
        <w:rPr>
          <w:rFonts w:eastAsia="仿宋_GB2312"/>
          <w:b/>
          <w:sz w:val="32"/>
          <w:szCs w:val="32"/>
        </w:rPr>
        <w:t>创建商标品牌指导站，树立企业自身品牌，利用商标品牌作用提高企业经济效益，引导企业在加强商标创意设计、增加商标附加值上下功夫，巩固和深化企业商标品牌优势；指导企业通过马德里商标国际注册途径，合理扩大商标注册类别、加强出口产品商标的储备注册，构建严密的海外商标权利体系；鼓励地方特色农产品申报注册地理标志商标、地理标志保护产品，提升地理标志品牌影响力和产品附加值；探索建立地理标志产业与区域乡村旅游、休闲农业有机结合，服务乡村振兴。</w:t>
      </w:r>
      <w:r>
        <w:rPr>
          <w:rFonts w:eastAsia="楷体_GB2312"/>
          <w:b/>
          <w:sz w:val="32"/>
          <w:szCs w:val="32"/>
        </w:rPr>
        <w:t>（责任单位：区农业农村局、区商务和投资促进局、区文化和旅游局、区市场监督管理局，各镇街）</w:t>
      </w:r>
    </w:p>
    <w:p>
      <w:pPr>
        <w:spacing w:line="560" w:lineRule="exact"/>
        <w:ind w:firstLine="643" w:firstLineChars="200"/>
        <w:rPr>
          <w:rFonts w:eastAsia="楷体_GB2312"/>
          <w:b/>
          <w:sz w:val="32"/>
          <w:szCs w:val="32"/>
        </w:rPr>
      </w:pPr>
      <w:r>
        <w:rPr>
          <w:rFonts w:eastAsia="仿宋_GB2312"/>
          <w:b/>
          <w:sz w:val="32"/>
          <w:szCs w:val="32"/>
        </w:rPr>
        <w:t>3.</w:t>
      </w:r>
      <w:r>
        <w:rPr>
          <w:rFonts w:eastAsiaTheme="minorEastAsia"/>
          <w:b/>
          <w:sz w:val="32"/>
          <w:szCs w:val="32"/>
        </w:rPr>
        <w:t>推进贯标认证工作。</w:t>
      </w:r>
      <w:r>
        <w:rPr>
          <w:rFonts w:eastAsia="仿宋_GB2312"/>
          <w:b/>
          <w:sz w:val="32"/>
          <w:szCs w:val="32"/>
        </w:rPr>
        <w:t>引导企业牢固树立知识产权强企战略，支撑企业持续发展，提升企业核心竞争力；指导辖区内拟贯标企业对标对表查漏补缺，持续推进企业建立科学、系统、规范的知识产权管理体系。</w:t>
      </w:r>
      <w:r>
        <w:rPr>
          <w:rFonts w:eastAsia="楷体_GB2312"/>
          <w:b/>
          <w:sz w:val="32"/>
          <w:szCs w:val="32"/>
        </w:rPr>
        <w:t>（责任单位：区市场监督管理局，各镇街）</w:t>
      </w:r>
    </w:p>
    <w:p>
      <w:pPr>
        <w:spacing w:line="560" w:lineRule="exact"/>
        <w:ind w:firstLine="643" w:firstLineChars="200"/>
        <w:rPr>
          <w:rFonts w:eastAsia="楷体_GB2312"/>
          <w:b/>
          <w:sz w:val="32"/>
          <w:szCs w:val="32"/>
        </w:rPr>
      </w:pPr>
      <w:r>
        <w:rPr>
          <w:rFonts w:eastAsia="楷体_GB2312"/>
          <w:b/>
          <w:sz w:val="32"/>
          <w:szCs w:val="32"/>
        </w:rPr>
        <w:t>（二）提升知识产权运用效益</w:t>
      </w:r>
    </w:p>
    <w:p>
      <w:pPr>
        <w:spacing w:line="560" w:lineRule="exact"/>
        <w:ind w:firstLine="643" w:firstLineChars="200"/>
        <w:rPr>
          <w:rFonts w:eastAsia="楷体_GB2312"/>
          <w:b/>
          <w:sz w:val="32"/>
          <w:szCs w:val="32"/>
        </w:rPr>
      </w:pPr>
      <w:r>
        <w:rPr>
          <w:rFonts w:eastAsia="仿宋_GB2312"/>
          <w:b/>
          <w:sz w:val="32"/>
          <w:szCs w:val="32"/>
        </w:rPr>
        <w:t>1.</w:t>
      </w:r>
      <w:r>
        <w:rPr>
          <w:b/>
          <w:sz w:val="32"/>
          <w:szCs w:val="32"/>
        </w:rPr>
        <w:t>探索推进专利开放许可。</w:t>
      </w:r>
      <w:r>
        <w:rPr>
          <w:rFonts w:eastAsia="仿宋_GB2312"/>
          <w:b/>
          <w:sz w:val="32"/>
          <w:szCs w:val="32"/>
        </w:rPr>
        <w:t>鼓励专利权人借助“互联网+”模式实施专利开放许可，引导更多高校、科研院所和知识产权优势、示范企业等专利权人积极进行专利开放许可，实现更高质量的知识产权信息开放、更高水平的知识产权运营服务供给，打通专利技术供给渠道，促进专利转化实施。</w:t>
      </w:r>
      <w:r>
        <w:rPr>
          <w:rFonts w:eastAsia="楷体_GB2312"/>
          <w:b/>
          <w:sz w:val="32"/>
          <w:szCs w:val="32"/>
        </w:rPr>
        <w:t>（责任单位：区市场监督管理局，各镇街）</w:t>
      </w:r>
    </w:p>
    <w:p>
      <w:pPr>
        <w:spacing w:line="560" w:lineRule="exact"/>
        <w:ind w:firstLine="643" w:firstLineChars="200"/>
        <w:rPr>
          <w:rFonts w:eastAsia="仿宋_GB2312"/>
          <w:b/>
          <w:sz w:val="32"/>
          <w:szCs w:val="32"/>
        </w:rPr>
      </w:pPr>
      <w:r>
        <w:rPr>
          <w:rFonts w:eastAsia="仿宋_GB2312"/>
          <w:b/>
          <w:sz w:val="32"/>
          <w:szCs w:val="32"/>
        </w:rPr>
        <w:t>2.</w:t>
      </w:r>
      <w:r>
        <w:rPr>
          <w:b/>
          <w:sz w:val="32"/>
          <w:szCs w:val="32"/>
        </w:rPr>
        <w:t>创新知识产权融资方式。</w:t>
      </w:r>
      <w:r>
        <w:rPr>
          <w:rFonts w:eastAsia="仿宋_GB2312"/>
          <w:b/>
          <w:sz w:val="32"/>
          <w:szCs w:val="32"/>
        </w:rPr>
        <w:t>鼓励银行创新信贷产品，拓宽知识产权质押渠道，积极推广商标权、专利权等知识产权质押贷款；加大对创新型企业的信贷支持力度，优先支持科技型中小企业申请知识产权质押贷款，扩大质押贷款业务的知晓率和覆盖面。</w:t>
      </w:r>
      <w:r>
        <w:rPr>
          <w:rFonts w:eastAsia="楷体_GB2312"/>
          <w:b/>
          <w:sz w:val="32"/>
          <w:szCs w:val="32"/>
        </w:rPr>
        <w:t>（责任单位：区财政局、区市场监督管理局、区地方金融监督管理局，各镇街）</w:t>
      </w:r>
    </w:p>
    <w:p>
      <w:pPr>
        <w:spacing w:line="560" w:lineRule="exact"/>
        <w:ind w:firstLine="643" w:firstLineChars="200"/>
        <w:rPr>
          <w:rFonts w:eastAsia="楷体_GB2312"/>
          <w:b/>
          <w:sz w:val="32"/>
          <w:szCs w:val="32"/>
        </w:rPr>
      </w:pPr>
      <w:r>
        <w:rPr>
          <w:rFonts w:eastAsia="仿宋_GB2312"/>
          <w:b/>
          <w:sz w:val="32"/>
          <w:szCs w:val="32"/>
        </w:rPr>
        <w:t>3.</w:t>
      </w:r>
      <w:r>
        <w:rPr>
          <w:b/>
          <w:sz w:val="32"/>
          <w:szCs w:val="32"/>
        </w:rPr>
        <w:t>探索开展数据知识产权。</w:t>
      </w:r>
      <w:r>
        <w:rPr>
          <w:rFonts w:eastAsia="仿宋_GB2312"/>
          <w:b/>
          <w:sz w:val="32"/>
          <w:szCs w:val="32"/>
        </w:rPr>
        <w:t>积极在数据知识产权登记、宣传培训等方面开展实践探索，深入企业开展工作，引导和鼓励创新主体积极参与数据知识产权存证登记，争取数据知识产权</w:t>
      </w:r>
      <w:r>
        <w:rPr>
          <w:rFonts w:eastAsia="仿宋_GB2312"/>
          <w:b/>
          <w:spacing w:val="-6"/>
          <w:sz w:val="32"/>
          <w:szCs w:val="32"/>
        </w:rPr>
        <w:t>工作取得突破性进展。</w:t>
      </w:r>
      <w:r>
        <w:rPr>
          <w:rFonts w:eastAsia="楷体_GB2312"/>
          <w:b/>
          <w:spacing w:val="-6"/>
          <w:sz w:val="32"/>
          <w:szCs w:val="32"/>
        </w:rPr>
        <w:t>（责任单位：区市场监督管理局，各镇街）</w:t>
      </w:r>
    </w:p>
    <w:p>
      <w:pPr>
        <w:spacing w:line="560" w:lineRule="exact"/>
        <w:ind w:firstLine="643" w:firstLineChars="200"/>
        <w:rPr>
          <w:rFonts w:eastAsia="楷体_GB2312"/>
          <w:b/>
          <w:sz w:val="32"/>
          <w:szCs w:val="32"/>
        </w:rPr>
      </w:pPr>
      <w:r>
        <w:rPr>
          <w:rFonts w:eastAsia="楷体_GB2312"/>
          <w:b/>
          <w:sz w:val="32"/>
          <w:szCs w:val="32"/>
        </w:rPr>
        <w:t>（三）强化知识产权保护体系</w:t>
      </w:r>
    </w:p>
    <w:p>
      <w:pPr>
        <w:spacing w:line="560" w:lineRule="exact"/>
        <w:ind w:firstLine="643" w:firstLineChars="200"/>
        <w:rPr>
          <w:rFonts w:eastAsia="楷体_GB2312"/>
          <w:b/>
          <w:sz w:val="32"/>
          <w:szCs w:val="32"/>
        </w:rPr>
      </w:pPr>
      <w:r>
        <w:rPr>
          <w:rFonts w:eastAsia="仿宋_GB2312"/>
          <w:b/>
          <w:sz w:val="32"/>
          <w:szCs w:val="32"/>
        </w:rPr>
        <w:t>1.</w:t>
      </w:r>
      <w:r>
        <w:rPr>
          <w:b/>
          <w:sz w:val="32"/>
          <w:szCs w:val="32"/>
        </w:rPr>
        <w:t>提升行政保护质效。</w:t>
      </w:r>
      <w:r>
        <w:rPr>
          <w:rFonts w:eastAsia="仿宋_GB2312"/>
          <w:b/>
          <w:sz w:val="32"/>
          <w:szCs w:val="32"/>
        </w:rPr>
        <w:t>全面推行“双随机、一公开”执法监管，全面落实行政执法“三项制度”；推动知识产权“严保护”，开展“铁拳”“蓝天”等专项执法保护行动，严厉打击专利、商标、版权、地理标志侵权假冒等知识产权违法行为；严厉打击非正常专利申请、商标恶意注册、违法违规代理行为；严厉打击涉烟侵权假冒等违法活动；加大著作权侵权行为的行政处罚力度，加强对地理标志商标的保护监管，加强对商业秘密的监管力度；完善知识产权管理、执法、裁决队伍培养机制，提升专利侵权行政裁决能力。</w:t>
      </w:r>
      <w:r>
        <w:rPr>
          <w:rFonts w:eastAsia="楷体_GB2312"/>
          <w:b/>
          <w:sz w:val="32"/>
          <w:szCs w:val="32"/>
        </w:rPr>
        <w:t>（责任单位：区法院、区检察院、区司法局、区农业农村局、区文化和旅游局、区市场监督管理局、区公安分局、区烟草专卖局，各镇街）</w:t>
      </w:r>
    </w:p>
    <w:p>
      <w:pPr>
        <w:spacing w:line="560" w:lineRule="exact"/>
        <w:ind w:firstLine="643" w:firstLineChars="200"/>
        <w:rPr>
          <w:rFonts w:eastAsia="楷体_GB2312"/>
          <w:b/>
          <w:sz w:val="32"/>
          <w:szCs w:val="32"/>
        </w:rPr>
      </w:pPr>
      <w:r>
        <w:rPr>
          <w:rFonts w:eastAsia="仿宋_GB2312"/>
          <w:b/>
          <w:sz w:val="32"/>
          <w:szCs w:val="32"/>
        </w:rPr>
        <w:t>2.</w:t>
      </w:r>
      <w:r>
        <w:rPr>
          <w:b/>
          <w:sz w:val="32"/>
          <w:szCs w:val="32"/>
        </w:rPr>
        <w:t>强化知识产权保护合力。</w:t>
      </w:r>
      <w:r>
        <w:rPr>
          <w:rFonts w:eastAsia="仿宋_GB2312"/>
          <w:b/>
          <w:sz w:val="32"/>
          <w:szCs w:val="32"/>
        </w:rPr>
        <w:t>健全知识产权工作联席会议制度，加强审判机关、检察机关、公安机关和市场监管部门之间的交流合作，增强各部门、机构之间的协同协作和有效衔接，提高各方工作人员的专业化能力，提升辖区内知识产权行政、司法保护工作水平，为营造良好的营商环境提供优质的法治保障和专业服务。</w:t>
      </w:r>
      <w:r>
        <w:rPr>
          <w:rFonts w:eastAsia="楷体_GB2312"/>
          <w:b/>
          <w:sz w:val="32"/>
          <w:szCs w:val="32"/>
        </w:rPr>
        <w:t>（责任单位：区法院、区检察院、区司法局、区文化和旅游局、区市场监督管理局、区公安分局，各镇街）</w:t>
      </w:r>
    </w:p>
    <w:p>
      <w:pPr>
        <w:spacing w:line="560" w:lineRule="exact"/>
        <w:ind w:firstLine="643" w:firstLineChars="200"/>
        <w:rPr>
          <w:rFonts w:eastAsia="楷体_GB2312"/>
          <w:b/>
          <w:sz w:val="32"/>
          <w:szCs w:val="32"/>
        </w:rPr>
      </w:pPr>
      <w:r>
        <w:rPr>
          <w:rFonts w:eastAsia="仿宋_GB2312"/>
          <w:b/>
          <w:sz w:val="32"/>
          <w:szCs w:val="32"/>
        </w:rPr>
        <w:t>3.</w:t>
      </w:r>
      <w:r>
        <w:rPr>
          <w:b/>
          <w:sz w:val="32"/>
          <w:szCs w:val="32"/>
        </w:rPr>
        <w:t>健全完善多元化纠纷解决机制。</w:t>
      </w:r>
      <w:r>
        <w:rPr>
          <w:rFonts w:eastAsia="仿宋_GB2312"/>
          <w:b/>
          <w:sz w:val="32"/>
          <w:szCs w:val="32"/>
        </w:rPr>
        <w:t>发挥市场监管局、司法局、人民法院在指导、监督知识产权纠纷调解工作的核心作用，依托市中区知识产权纠纷人民调解委员会，化解知识产权纠纷，不断提升我区知识产权纠纷化解工作的质量水平。</w:t>
      </w:r>
      <w:r>
        <w:rPr>
          <w:rFonts w:eastAsia="楷体_GB2312"/>
          <w:b/>
          <w:sz w:val="32"/>
          <w:szCs w:val="32"/>
        </w:rPr>
        <w:t>（责任单位：区法院、区司法局、区市场监督管理局，各镇街）</w:t>
      </w:r>
    </w:p>
    <w:p>
      <w:pPr>
        <w:spacing w:line="540" w:lineRule="exact"/>
        <w:ind w:firstLine="643" w:firstLineChars="200"/>
        <w:rPr>
          <w:rFonts w:eastAsia="楷体_GB2312"/>
          <w:b/>
          <w:sz w:val="32"/>
          <w:szCs w:val="32"/>
        </w:rPr>
      </w:pPr>
      <w:r>
        <w:rPr>
          <w:rFonts w:eastAsia="楷体_GB2312"/>
          <w:b/>
          <w:sz w:val="32"/>
          <w:szCs w:val="32"/>
        </w:rPr>
        <w:t>（四）提升知识产权服务能力</w:t>
      </w:r>
    </w:p>
    <w:p>
      <w:pPr>
        <w:spacing w:line="540" w:lineRule="exact"/>
        <w:ind w:firstLine="643" w:firstLineChars="200"/>
        <w:rPr>
          <w:rFonts w:eastAsia="楷体_GB2312"/>
          <w:b/>
          <w:sz w:val="32"/>
          <w:szCs w:val="32"/>
        </w:rPr>
      </w:pPr>
      <w:r>
        <w:rPr>
          <w:rFonts w:eastAsia="仿宋_GB2312"/>
          <w:b/>
          <w:sz w:val="32"/>
          <w:szCs w:val="32"/>
        </w:rPr>
        <w:t>1.</w:t>
      </w:r>
      <w:r>
        <w:rPr>
          <w:b/>
          <w:sz w:val="32"/>
          <w:szCs w:val="32"/>
        </w:rPr>
        <w:t>深入开展宣传活动。</w:t>
      </w:r>
      <w:r>
        <w:rPr>
          <w:rFonts w:eastAsia="仿宋_GB2312"/>
          <w:b/>
          <w:sz w:val="32"/>
          <w:szCs w:val="32"/>
        </w:rPr>
        <w:t>围绕知识产权“4.26”宣传日、专利周、法治宣传周等开展形式多样的宣传活动，充分运用广播、电视、报刊、微信等媒介，加大知识产权法律法规知识的宣传普及力度，增强全社会保护知识产权的意识；持续推进“一企一策”“入园惠企”“知识产权服务万里行”活动，以知识产权服务推进知识产权高效运用，激发全社会创新活力。</w:t>
      </w:r>
      <w:r>
        <w:rPr>
          <w:rFonts w:eastAsia="楷体_GB2312"/>
          <w:b/>
          <w:sz w:val="32"/>
          <w:szCs w:val="32"/>
        </w:rPr>
        <w:t>（责任单位：区市场监督管理局、区国家知识产权强县建设试点县工作领导小组成员单位）</w:t>
      </w:r>
    </w:p>
    <w:p>
      <w:pPr>
        <w:spacing w:line="540" w:lineRule="exact"/>
        <w:ind w:firstLine="643" w:firstLineChars="200"/>
        <w:rPr>
          <w:rFonts w:eastAsia="楷体_GB2312"/>
          <w:b/>
          <w:sz w:val="32"/>
          <w:szCs w:val="32"/>
        </w:rPr>
      </w:pPr>
      <w:r>
        <w:rPr>
          <w:rFonts w:eastAsia="仿宋_GB2312"/>
          <w:b/>
          <w:sz w:val="32"/>
          <w:szCs w:val="32"/>
        </w:rPr>
        <w:t>2.</w:t>
      </w:r>
      <w:r>
        <w:rPr>
          <w:b/>
          <w:sz w:val="32"/>
          <w:szCs w:val="32"/>
        </w:rPr>
        <w:t>大力实施人才引进。</w:t>
      </w:r>
      <w:r>
        <w:rPr>
          <w:rFonts w:eastAsia="仿宋_GB2312"/>
          <w:b/>
          <w:sz w:val="32"/>
          <w:szCs w:val="32"/>
        </w:rPr>
        <w:t>加大招才引智力度，根据我区产业发展需求和知识产权管理需要，逐步引进一批精通知识产权法律法规、具有较高知识产权理论水平和工作经验的高层次复合型知识产权人才；联合高等院校、专业机构等构建知识产权培训协作机制，组织律师事务所、知识产权服务机构的知识产权专家开展知识产权咨询等公益服务。</w:t>
      </w:r>
      <w:r>
        <w:rPr>
          <w:rFonts w:eastAsia="楷体_GB2312"/>
          <w:b/>
          <w:sz w:val="32"/>
          <w:szCs w:val="32"/>
        </w:rPr>
        <w:t>（责任单位：区委组织部、区人力资源和社会保障局、区教育和体育局、区科学技术局、区工业和信息化局、区市场监督管理局，各镇街）</w:t>
      </w:r>
    </w:p>
    <w:p>
      <w:pPr>
        <w:spacing w:line="540" w:lineRule="exact"/>
        <w:ind w:firstLine="643" w:firstLineChars="200"/>
        <w:rPr>
          <w:rFonts w:eastAsia="楷体_GB2312"/>
          <w:b/>
          <w:sz w:val="32"/>
          <w:szCs w:val="32"/>
        </w:rPr>
      </w:pPr>
      <w:r>
        <w:rPr>
          <w:rFonts w:eastAsia="仿宋_GB2312"/>
          <w:b/>
          <w:sz w:val="32"/>
          <w:szCs w:val="32"/>
        </w:rPr>
        <w:t>3.</w:t>
      </w:r>
      <w:r>
        <w:rPr>
          <w:b/>
          <w:sz w:val="32"/>
          <w:szCs w:val="32"/>
        </w:rPr>
        <w:t>定期开展培训活动。</w:t>
      </w:r>
      <w:r>
        <w:rPr>
          <w:rFonts w:eastAsia="仿宋_GB2312"/>
          <w:b/>
          <w:sz w:val="32"/>
          <w:szCs w:val="32"/>
        </w:rPr>
        <w:t>除常态化开展专利申报、“专利清零”等培训外，持续做好知识产权大讲堂进校园、进企业、进社区工作，广泛普及知识产权专业知识，提高全民知识产权意识。</w:t>
      </w:r>
      <w:r>
        <w:rPr>
          <w:rFonts w:eastAsia="楷体_GB2312"/>
          <w:b/>
          <w:sz w:val="32"/>
          <w:szCs w:val="32"/>
        </w:rPr>
        <w:t>（责任单位：区市场监督管理局，区科学技术局、区工业和信息化局、区教育和体育局，各镇街）</w:t>
      </w:r>
    </w:p>
    <w:p>
      <w:pPr>
        <w:spacing w:line="540" w:lineRule="exact"/>
        <w:ind w:firstLine="643" w:firstLineChars="200"/>
        <w:rPr>
          <w:rFonts w:eastAsia="黑体"/>
          <w:b/>
          <w:sz w:val="32"/>
          <w:szCs w:val="32"/>
        </w:rPr>
      </w:pPr>
      <w:r>
        <w:rPr>
          <w:rFonts w:eastAsia="黑体"/>
          <w:b/>
          <w:sz w:val="32"/>
          <w:szCs w:val="32"/>
        </w:rPr>
        <w:t>四、实施步骤</w:t>
      </w:r>
    </w:p>
    <w:p>
      <w:pPr>
        <w:spacing w:line="540" w:lineRule="exact"/>
        <w:ind w:firstLine="643" w:firstLineChars="200"/>
        <w:rPr>
          <w:rFonts w:eastAsia="仿宋_GB2312"/>
          <w:b/>
          <w:sz w:val="32"/>
          <w:szCs w:val="32"/>
        </w:rPr>
      </w:pPr>
      <w:r>
        <w:rPr>
          <w:rFonts w:eastAsia="仿宋_GB2312"/>
          <w:b/>
          <w:sz w:val="32"/>
          <w:szCs w:val="32"/>
        </w:rPr>
        <w:t>创建国家知识产权强县建设试点县工作分以下三个阶段进行：</w:t>
      </w:r>
    </w:p>
    <w:p>
      <w:pPr>
        <w:spacing w:line="580" w:lineRule="exact"/>
        <w:ind w:firstLine="643" w:firstLineChars="200"/>
        <w:rPr>
          <w:rFonts w:eastAsia="仿宋_GB2312"/>
          <w:b/>
          <w:sz w:val="32"/>
          <w:szCs w:val="32"/>
        </w:rPr>
      </w:pPr>
      <w:r>
        <w:rPr>
          <w:rFonts w:eastAsia="仿宋_GB2312"/>
          <w:b/>
          <w:sz w:val="32"/>
          <w:szCs w:val="32"/>
        </w:rPr>
        <w:t>第一阶段：组织发动阶段（2024年1月—2024年3月）。在国家及省、市市场监管局的指导下，在全区召开启动会，全面动员部署国家知识产权强县建设试点县工作。</w:t>
      </w:r>
    </w:p>
    <w:p>
      <w:pPr>
        <w:spacing w:line="580" w:lineRule="exact"/>
        <w:ind w:firstLine="643" w:firstLineChars="200"/>
        <w:rPr>
          <w:rFonts w:eastAsia="仿宋_GB2312"/>
          <w:b/>
          <w:sz w:val="32"/>
          <w:szCs w:val="32"/>
        </w:rPr>
      </w:pPr>
      <w:r>
        <w:rPr>
          <w:rFonts w:eastAsia="仿宋_GB2312"/>
          <w:b/>
          <w:sz w:val="32"/>
          <w:szCs w:val="32"/>
        </w:rPr>
        <w:t>第二阶段：重点实施阶段（2024年4月—2026年8月）。在国家及省、市市场监管局的指导下，全面落实本实施方案的各项工作措施，并在实践中不断调整完善，实现工作目标。</w:t>
      </w:r>
    </w:p>
    <w:p>
      <w:pPr>
        <w:spacing w:line="580" w:lineRule="exact"/>
        <w:ind w:firstLine="643" w:firstLineChars="200"/>
        <w:rPr>
          <w:rFonts w:eastAsia="仿宋_GB2312"/>
          <w:b/>
          <w:sz w:val="32"/>
          <w:szCs w:val="32"/>
        </w:rPr>
      </w:pPr>
      <w:r>
        <w:rPr>
          <w:rFonts w:eastAsia="仿宋_GB2312"/>
          <w:b/>
          <w:sz w:val="32"/>
          <w:szCs w:val="32"/>
        </w:rPr>
        <w:t>第三阶段：总结验收阶段（2026年9月—2026年12月）。对照国家知识产权强县建设试点县工作要求，逐项进行检查，对措施落实不到位的，认真进行整改，争取进入国家知识产权强县建设示范县行列。</w:t>
      </w:r>
    </w:p>
    <w:p>
      <w:pPr>
        <w:spacing w:line="580" w:lineRule="exact"/>
        <w:ind w:firstLine="643" w:firstLineChars="200"/>
        <w:rPr>
          <w:rFonts w:eastAsia="黑体"/>
          <w:b/>
          <w:sz w:val="32"/>
          <w:szCs w:val="32"/>
        </w:rPr>
      </w:pPr>
      <w:r>
        <w:rPr>
          <w:rFonts w:eastAsia="黑体"/>
          <w:b/>
          <w:sz w:val="32"/>
          <w:szCs w:val="32"/>
        </w:rPr>
        <w:t>五、保障措施</w:t>
      </w:r>
    </w:p>
    <w:p>
      <w:pPr>
        <w:spacing w:line="580" w:lineRule="exact"/>
        <w:ind w:firstLine="643" w:firstLineChars="200"/>
        <w:rPr>
          <w:rFonts w:eastAsia="仿宋_GB2312"/>
          <w:b/>
          <w:sz w:val="32"/>
          <w:szCs w:val="32"/>
        </w:rPr>
      </w:pPr>
      <w:r>
        <w:rPr>
          <w:rFonts w:eastAsia="楷体_GB2312"/>
          <w:b/>
          <w:sz w:val="32"/>
          <w:szCs w:val="32"/>
        </w:rPr>
        <w:t>（一）加强组织保障。</w:t>
      </w:r>
      <w:r>
        <w:rPr>
          <w:rFonts w:eastAsia="仿宋_GB2312"/>
          <w:b/>
          <w:sz w:val="32"/>
          <w:szCs w:val="32"/>
        </w:rPr>
        <w:t>依托区知识产权战略实施领导小组，会同有关部门组建市中区国家知识产权强县建设试点县工作领导小组，全面统筹协调知识产权强县建设试点县工作；定期召开会议研究、部署知识产权工作，各镇街成立知识产权办公室并配备不少于2人的知识产权专职人员，落实知识产权有关工作，同时将知识产权工作纳入市中区高质量发展综合绩效考核体系。</w:t>
      </w:r>
    </w:p>
    <w:p>
      <w:pPr>
        <w:spacing w:line="580" w:lineRule="exact"/>
        <w:ind w:firstLine="643" w:firstLineChars="200"/>
        <w:rPr>
          <w:rFonts w:eastAsia="仿宋_GB2312"/>
          <w:b/>
          <w:sz w:val="32"/>
          <w:szCs w:val="32"/>
        </w:rPr>
      </w:pPr>
      <w:r>
        <w:rPr>
          <w:rFonts w:eastAsia="楷体_GB2312"/>
          <w:b/>
          <w:sz w:val="32"/>
          <w:szCs w:val="32"/>
        </w:rPr>
        <w:t>（二）严格创建示范。</w:t>
      </w:r>
      <w:r>
        <w:rPr>
          <w:rFonts w:eastAsia="仿宋_GB2312"/>
          <w:b/>
          <w:sz w:val="32"/>
          <w:szCs w:val="32"/>
        </w:rPr>
        <w:t>严格按照区创建国家知识产权强县建设试点县工作实施方案，合理统筹规划，明确工作任务节点与任务标准，扎实推进各项重点任务落细落实；符合国家知识产权强县建设试点县要求的，要总结巩固建设成果，积极发挥示范作用，带动区域知识产权工作全面提升。</w:t>
      </w:r>
    </w:p>
    <w:p>
      <w:pPr>
        <w:spacing w:line="560" w:lineRule="exact"/>
        <w:ind w:firstLine="643" w:firstLineChars="200"/>
        <w:rPr>
          <w:rFonts w:eastAsia="仿宋_GB2312"/>
          <w:b/>
          <w:sz w:val="32"/>
          <w:szCs w:val="32"/>
        </w:rPr>
      </w:pPr>
      <w:r>
        <w:rPr>
          <w:rFonts w:eastAsia="楷体_GB2312"/>
          <w:b/>
          <w:sz w:val="32"/>
          <w:szCs w:val="32"/>
        </w:rPr>
        <w:t>（三）加强经费保障。</w:t>
      </w:r>
      <w:r>
        <w:rPr>
          <w:rFonts w:eastAsia="仿宋_GB2312"/>
          <w:b/>
          <w:sz w:val="32"/>
          <w:szCs w:val="32"/>
        </w:rPr>
        <w:t>用好省、市、区知识产权专项奖补资金，为建设国家知识产权强县建设试点县提供资金保障，加强和规范资金使用管理，提高资金绩效水平。</w:t>
      </w:r>
      <w:bookmarkEnd w:id="0"/>
    </w:p>
    <w:p>
      <w:pPr>
        <w:spacing w:line="560" w:lineRule="exact"/>
        <w:ind w:firstLine="643" w:firstLineChars="200"/>
        <w:rPr>
          <w:rFonts w:eastAsia="仿宋_GB2312"/>
          <w:b/>
          <w:sz w:val="32"/>
          <w:szCs w:val="32"/>
        </w:rPr>
      </w:pPr>
      <w:r>
        <w:rPr>
          <w:rFonts w:eastAsia="楷体_GB2312"/>
          <w:b/>
          <w:sz w:val="32"/>
          <w:szCs w:val="32"/>
        </w:rPr>
        <w:t>（四）加强督导检查。</w:t>
      </w:r>
      <w:r>
        <w:rPr>
          <w:rFonts w:eastAsia="仿宋_GB2312"/>
          <w:b/>
          <w:sz w:val="32"/>
          <w:szCs w:val="32"/>
        </w:rPr>
        <w:t>国家知识产权强县建设试点县工作领导小组办公室要切实承担起牵头抓总责任，对试点县建设工作开展情况要加强督促和检查，确保各项工作任务落实到位。对参与试点县建设工作不积极、配合不到位、不能按时按质按量完成任务或有弄虚作假行为的，将及时予以通报并督促整改。</w:t>
      </w:r>
    </w:p>
    <w:p>
      <w:pPr>
        <w:spacing w:line="560" w:lineRule="exact"/>
        <w:ind w:firstLine="643" w:firstLineChars="200"/>
        <w:rPr>
          <w:rFonts w:eastAsia="仿宋_GB2312"/>
          <w:b/>
          <w:sz w:val="32"/>
          <w:szCs w:val="32"/>
        </w:rPr>
      </w:pPr>
    </w:p>
    <w:p>
      <w:pPr>
        <w:spacing w:line="560" w:lineRule="exact"/>
        <w:ind w:firstLine="643" w:firstLineChars="200"/>
        <w:rPr>
          <w:rFonts w:eastAsia="仿宋_GB2312"/>
          <w:b/>
          <w:sz w:val="32"/>
          <w:szCs w:val="32"/>
        </w:rPr>
      </w:pPr>
      <w:r>
        <w:rPr>
          <w:rFonts w:eastAsia="仿宋_GB2312"/>
          <w:b/>
          <w:sz w:val="32"/>
          <w:szCs w:val="32"/>
        </w:rPr>
        <w:t>附件：枣庄市市中区创建国家知识产权强县建设试点县</w:t>
      </w:r>
    </w:p>
    <w:p>
      <w:pPr>
        <w:spacing w:line="560" w:lineRule="exact"/>
        <w:rPr>
          <w:rFonts w:eastAsia="仿宋_GB2312"/>
          <w:b/>
          <w:sz w:val="32"/>
          <w:szCs w:val="32"/>
        </w:rPr>
      </w:pPr>
      <w:r>
        <w:rPr>
          <w:rFonts w:eastAsia="仿宋_GB2312"/>
          <w:b/>
          <w:sz w:val="32"/>
          <w:szCs w:val="32"/>
        </w:rPr>
        <w:t>工作任务目标分解表</w:t>
      </w:r>
    </w:p>
    <w:p>
      <w:pPr>
        <w:widowControl/>
        <w:jc w:val="left"/>
        <w:textAlignment w:val="center"/>
        <w:rPr>
          <w:rFonts w:eastAsia="黑体"/>
          <w:b/>
          <w:bCs/>
          <w:sz w:val="32"/>
          <w:szCs w:val="32"/>
        </w:rPr>
      </w:pPr>
    </w:p>
    <w:p>
      <w:pPr>
        <w:widowControl/>
        <w:jc w:val="left"/>
        <w:textAlignment w:val="center"/>
        <w:rPr>
          <w:rFonts w:eastAsia="黑体"/>
          <w:b/>
          <w:bCs/>
          <w:sz w:val="32"/>
          <w:szCs w:val="32"/>
        </w:rPr>
      </w:pPr>
    </w:p>
    <w:p>
      <w:pPr>
        <w:widowControl/>
        <w:jc w:val="left"/>
        <w:textAlignment w:val="center"/>
        <w:rPr>
          <w:rFonts w:eastAsia="黑体"/>
          <w:b/>
          <w:bCs/>
          <w:sz w:val="32"/>
          <w:szCs w:val="32"/>
        </w:rPr>
      </w:pPr>
    </w:p>
    <w:p>
      <w:pPr>
        <w:widowControl/>
        <w:jc w:val="left"/>
        <w:textAlignment w:val="center"/>
        <w:rPr>
          <w:rFonts w:eastAsia="黑体"/>
          <w:b/>
          <w:bCs/>
          <w:sz w:val="32"/>
          <w:szCs w:val="32"/>
        </w:rPr>
      </w:pPr>
    </w:p>
    <w:p>
      <w:pPr>
        <w:widowControl/>
        <w:jc w:val="left"/>
        <w:textAlignment w:val="center"/>
        <w:rPr>
          <w:rFonts w:eastAsia="黑体"/>
          <w:b/>
          <w:bCs/>
          <w:sz w:val="32"/>
          <w:szCs w:val="32"/>
        </w:rPr>
      </w:pPr>
    </w:p>
    <w:p>
      <w:pPr>
        <w:widowControl/>
        <w:jc w:val="left"/>
        <w:textAlignment w:val="center"/>
        <w:rPr>
          <w:rFonts w:eastAsia="黑体"/>
          <w:b/>
          <w:bCs/>
          <w:sz w:val="32"/>
          <w:szCs w:val="32"/>
        </w:rPr>
      </w:pPr>
    </w:p>
    <w:p>
      <w:pPr>
        <w:widowControl/>
        <w:jc w:val="left"/>
        <w:textAlignment w:val="center"/>
        <w:rPr>
          <w:rFonts w:eastAsia="黑体"/>
          <w:b/>
          <w:bCs/>
          <w:sz w:val="32"/>
          <w:szCs w:val="32"/>
        </w:rPr>
      </w:pPr>
    </w:p>
    <w:p>
      <w:pPr>
        <w:widowControl/>
        <w:jc w:val="left"/>
        <w:textAlignment w:val="center"/>
        <w:rPr>
          <w:rFonts w:eastAsia="黑体"/>
          <w:b/>
          <w:bCs/>
          <w:sz w:val="32"/>
          <w:szCs w:val="32"/>
        </w:rPr>
      </w:pPr>
    </w:p>
    <w:p>
      <w:pPr>
        <w:widowControl/>
        <w:jc w:val="left"/>
        <w:textAlignment w:val="center"/>
        <w:rPr>
          <w:rFonts w:eastAsia="黑体"/>
          <w:b/>
          <w:bCs/>
          <w:sz w:val="32"/>
          <w:szCs w:val="32"/>
        </w:rPr>
      </w:pPr>
    </w:p>
    <w:p>
      <w:pPr>
        <w:widowControl/>
        <w:jc w:val="left"/>
        <w:textAlignment w:val="center"/>
        <w:rPr>
          <w:rFonts w:eastAsia="黑体"/>
          <w:b/>
          <w:bCs/>
          <w:sz w:val="32"/>
          <w:szCs w:val="32"/>
        </w:rPr>
      </w:pPr>
    </w:p>
    <w:p>
      <w:pPr>
        <w:widowControl/>
        <w:jc w:val="left"/>
        <w:textAlignment w:val="center"/>
        <w:rPr>
          <w:rFonts w:eastAsia="黑体"/>
          <w:b/>
          <w:bCs/>
          <w:sz w:val="32"/>
          <w:szCs w:val="32"/>
        </w:rPr>
      </w:pPr>
    </w:p>
    <w:p>
      <w:pPr>
        <w:widowControl/>
        <w:jc w:val="left"/>
        <w:textAlignment w:val="center"/>
        <w:rPr>
          <w:rFonts w:eastAsia="黑体"/>
          <w:b/>
          <w:bCs/>
          <w:sz w:val="32"/>
          <w:szCs w:val="32"/>
        </w:rPr>
      </w:pPr>
    </w:p>
    <w:p>
      <w:pPr>
        <w:widowControl/>
        <w:jc w:val="left"/>
        <w:textAlignment w:val="center"/>
        <w:rPr>
          <w:rFonts w:eastAsia="黑体"/>
          <w:b/>
          <w:bCs/>
          <w:sz w:val="32"/>
          <w:szCs w:val="32"/>
        </w:rPr>
      </w:pPr>
      <w:r>
        <w:rPr>
          <w:rFonts w:eastAsia="黑体"/>
          <w:b/>
          <w:bCs/>
          <w:sz w:val="32"/>
          <w:szCs w:val="32"/>
        </w:rPr>
        <w:t>附件：</w:t>
      </w:r>
    </w:p>
    <w:p>
      <w:pPr>
        <w:pStyle w:val="16"/>
      </w:pPr>
    </w:p>
    <w:p>
      <w:pPr>
        <w:pStyle w:val="2"/>
        <w:jc w:val="center"/>
        <w:rPr>
          <w:rFonts w:ascii="Times New Roman" w:hAnsi="Times New Roman" w:eastAsia="方正小标宋简体" w:cs="Times New Roman"/>
          <w:b/>
          <w:bCs/>
          <w:sz w:val="36"/>
          <w:szCs w:val="36"/>
          <w:lang w:eastAsia="zh-CN"/>
        </w:rPr>
      </w:pPr>
      <w:r>
        <w:rPr>
          <w:rFonts w:hint="eastAsia" w:ascii="Times New Roman" w:hAnsi="Times New Roman" w:eastAsia="方正小标宋简体" w:cs="Times New Roman"/>
          <w:b/>
          <w:bCs/>
          <w:sz w:val="36"/>
          <w:szCs w:val="36"/>
          <w:lang w:eastAsia="zh-CN"/>
        </w:rPr>
        <w:t>枣庄市</w:t>
      </w:r>
      <w:r>
        <w:rPr>
          <w:rFonts w:ascii="Times New Roman" w:hAnsi="Times New Roman" w:eastAsia="方正小标宋简体" w:cs="Times New Roman"/>
          <w:b/>
          <w:bCs/>
          <w:sz w:val="36"/>
          <w:szCs w:val="36"/>
          <w:lang w:eastAsia="zh-CN"/>
        </w:rPr>
        <w:t>市中区创建国家知识产权强县建设试点县</w:t>
      </w:r>
    </w:p>
    <w:p>
      <w:pPr>
        <w:pStyle w:val="2"/>
        <w:jc w:val="center"/>
        <w:rPr>
          <w:rFonts w:ascii="Times New Roman" w:hAnsi="Times New Roman" w:eastAsia="方正小标宋简体" w:cs="Times New Roman"/>
          <w:b/>
          <w:bCs/>
          <w:sz w:val="36"/>
          <w:szCs w:val="36"/>
          <w:lang w:eastAsia="zh-CN"/>
        </w:rPr>
      </w:pPr>
      <w:r>
        <w:rPr>
          <w:rFonts w:ascii="Times New Roman" w:hAnsi="Times New Roman" w:eastAsia="方正小标宋简体" w:cs="Times New Roman"/>
          <w:b/>
          <w:bCs/>
          <w:sz w:val="36"/>
          <w:szCs w:val="36"/>
          <w:lang w:eastAsia="zh-CN"/>
        </w:rPr>
        <w:t>工作任务目标分解表</w:t>
      </w:r>
    </w:p>
    <w:tbl>
      <w:tblPr>
        <w:tblStyle w:val="13"/>
        <w:tblW w:w="9576" w:type="dxa"/>
        <w:jc w:val="center"/>
        <w:tblInd w:w="0" w:type="dxa"/>
        <w:tblLayout w:type="fixed"/>
        <w:tblCellMar>
          <w:top w:w="0" w:type="dxa"/>
          <w:left w:w="108" w:type="dxa"/>
          <w:bottom w:w="0" w:type="dxa"/>
          <w:right w:w="108" w:type="dxa"/>
        </w:tblCellMar>
      </w:tblPr>
      <w:tblGrid>
        <w:gridCol w:w="951"/>
        <w:gridCol w:w="1798"/>
        <w:gridCol w:w="1768"/>
        <w:gridCol w:w="1753"/>
        <w:gridCol w:w="1614"/>
        <w:gridCol w:w="1692"/>
      </w:tblGrid>
      <w:tr>
        <w:tblPrEx>
          <w:tblLayout w:type="fixed"/>
          <w:tblCellMar>
            <w:top w:w="0" w:type="dxa"/>
            <w:left w:w="108" w:type="dxa"/>
            <w:bottom w:w="0" w:type="dxa"/>
            <w:right w:w="108" w:type="dxa"/>
          </w:tblCellMar>
        </w:tblPrEx>
        <w:trPr>
          <w:trHeight w:val="503" w:hRule="atLeast"/>
          <w:jc w:val="center"/>
        </w:trPr>
        <w:tc>
          <w:tcPr>
            <w:tcW w:w="9576" w:type="dxa"/>
            <w:gridSpan w:val="6"/>
            <w:tcBorders>
              <w:top w:val="nil"/>
              <w:left w:val="nil"/>
              <w:bottom w:val="nil"/>
              <w:right w:val="nil"/>
            </w:tcBorders>
            <w:noWrap/>
            <w:vAlign w:val="center"/>
          </w:tcPr>
          <w:p>
            <w:pPr>
              <w:widowControl/>
              <w:ind w:firstLine="562"/>
              <w:jc w:val="left"/>
              <w:textAlignment w:val="center"/>
              <w:rPr>
                <w:rFonts w:eastAsia="黑体"/>
                <w:b/>
                <w:bCs/>
                <w:color w:val="000000"/>
                <w:sz w:val="28"/>
                <w:szCs w:val="28"/>
              </w:rPr>
            </w:pPr>
            <w:r>
              <w:rPr>
                <w:rFonts w:eastAsia="黑体"/>
                <w:b/>
                <w:bCs/>
                <w:color w:val="000000"/>
                <w:kern w:val="0"/>
                <w:sz w:val="28"/>
                <w:szCs w:val="28"/>
              </w:rPr>
              <w:t>一、新增有效发明专利数量（个）</w:t>
            </w:r>
          </w:p>
        </w:tc>
      </w:tr>
      <w:tr>
        <w:tblPrEx>
          <w:tblLayout w:type="fixed"/>
          <w:tblCellMar>
            <w:top w:w="0" w:type="dxa"/>
            <w:left w:w="108" w:type="dxa"/>
            <w:bottom w:w="0" w:type="dxa"/>
            <w:right w:w="108" w:type="dxa"/>
          </w:tblCellMar>
        </w:tblPrEx>
        <w:trPr>
          <w:trHeight w:val="624" w:hRule="atLeast"/>
          <w:jc w:val="center"/>
        </w:trPr>
        <w:tc>
          <w:tcPr>
            <w:tcW w:w="95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黑体"/>
                <w:b/>
                <w:bCs/>
                <w:color w:val="000000"/>
                <w:sz w:val="24"/>
              </w:rPr>
            </w:pPr>
            <w:r>
              <w:rPr>
                <w:rFonts w:eastAsia="黑体"/>
                <w:b/>
                <w:bCs/>
                <w:color w:val="000000"/>
                <w:sz w:val="24"/>
              </w:rPr>
              <w:t>序号</w:t>
            </w:r>
          </w:p>
        </w:tc>
        <w:tc>
          <w:tcPr>
            <w:tcW w:w="179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ind w:firstLine="241" w:firstLineChars="100"/>
              <w:textAlignment w:val="center"/>
              <w:rPr>
                <w:rFonts w:eastAsia="黑体"/>
                <w:b/>
                <w:bCs/>
                <w:color w:val="000000"/>
                <w:sz w:val="24"/>
              </w:rPr>
            </w:pPr>
            <w:r>
              <w:rPr>
                <w:rFonts w:eastAsia="黑体"/>
                <w:b/>
                <w:bCs/>
                <w:color w:val="000000"/>
                <w:kern w:val="0"/>
                <w:sz w:val="24"/>
              </w:rPr>
              <w:t>镇（街）</w:t>
            </w:r>
          </w:p>
        </w:tc>
        <w:tc>
          <w:tcPr>
            <w:tcW w:w="513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黑体"/>
                <w:b/>
                <w:bCs/>
                <w:color w:val="000000"/>
                <w:kern w:val="0"/>
                <w:sz w:val="24"/>
              </w:rPr>
            </w:pPr>
            <w:r>
              <w:rPr>
                <w:rFonts w:eastAsia="黑体"/>
                <w:b/>
                <w:bCs/>
                <w:color w:val="000000"/>
                <w:kern w:val="0"/>
                <w:sz w:val="24"/>
              </w:rPr>
              <w:t>目标值</w:t>
            </w:r>
          </w:p>
        </w:tc>
        <w:tc>
          <w:tcPr>
            <w:tcW w:w="1692" w:type="dxa"/>
            <w:vMerge w:val="restart"/>
            <w:tcBorders>
              <w:top w:val="single" w:color="000000" w:sz="4" w:space="0"/>
              <w:left w:val="single" w:color="000000" w:sz="4" w:space="0"/>
              <w:right w:val="single" w:color="000000" w:sz="4" w:space="0"/>
            </w:tcBorders>
            <w:noWrap/>
            <w:vAlign w:val="center"/>
          </w:tcPr>
          <w:p>
            <w:pPr>
              <w:widowControl/>
              <w:ind w:firstLine="482"/>
              <w:jc w:val="left"/>
              <w:textAlignment w:val="center"/>
              <w:rPr>
                <w:rFonts w:eastAsia="黑体"/>
                <w:b/>
                <w:bCs/>
                <w:color w:val="000000"/>
                <w:sz w:val="24"/>
              </w:rPr>
            </w:pPr>
            <w:r>
              <w:rPr>
                <w:rFonts w:eastAsia="黑体"/>
                <w:b/>
                <w:bCs/>
                <w:color w:val="000000"/>
                <w:kern w:val="0"/>
                <w:sz w:val="24"/>
              </w:rPr>
              <w:t>总数值</w:t>
            </w:r>
          </w:p>
        </w:tc>
      </w:tr>
      <w:tr>
        <w:tblPrEx>
          <w:tblLayout w:type="fixed"/>
          <w:tblCellMar>
            <w:top w:w="0" w:type="dxa"/>
            <w:left w:w="108" w:type="dxa"/>
            <w:bottom w:w="0" w:type="dxa"/>
            <w:right w:w="108" w:type="dxa"/>
          </w:tblCellMar>
        </w:tblPrEx>
        <w:trPr>
          <w:trHeight w:val="624"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eastAsia="黑体"/>
                <w:b/>
                <w:bCs/>
                <w:color w:val="000000"/>
                <w:sz w:val="24"/>
              </w:rPr>
            </w:pPr>
          </w:p>
        </w:tc>
        <w:tc>
          <w:tcPr>
            <w:tcW w:w="1798"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80"/>
              <w:jc w:val="left"/>
              <w:rPr>
                <w:rFonts w:eastAsia="黑体"/>
                <w:b/>
                <w:bCs/>
                <w:color w:val="000000"/>
                <w:sz w:val="24"/>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黑体"/>
                <w:b/>
                <w:bCs/>
                <w:color w:val="000000"/>
                <w:sz w:val="24"/>
              </w:rPr>
            </w:pPr>
            <w:r>
              <w:rPr>
                <w:rFonts w:eastAsia="黑体"/>
                <w:b/>
                <w:bCs/>
                <w:color w:val="000000"/>
                <w:kern w:val="0"/>
                <w:sz w:val="24"/>
              </w:rPr>
              <w:t>2024年</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黑体"/>
                <w:b/>
                <w:bCs/>
                <w:color w:val="000000"/>
                <w:sz w:val="24"/>
              </w:rPr>
            </w:pPr>
            <w:r>
              <w:rPr>
                <w:rFonts w:eastAsia="黑体"/>
                <w:b/>
                <w:bCs/>
                <w:color w:val="000000"/>
                <w:kern w:val="0"/>
                <w:sz w:val="24"/>
              </w:rPr>
              <w:t>2025年</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黑体"/>
                <w:b/>
                <w:bCs/>
                <w:color w:val="000000"/>
                <w:sz w:val="24"/>
              </w:rPr>
            </w:pPr>
            <w:r>
              <w:rPr>
                <w:rFonts w:eastAsia="黑体"/>
                <w:b/>
                <w:bCs/>
                <w:color w:val="000000"/>
                <w:kern w:val="0"/>
                <w:sz w:val="24"/>
              </w:rPr>
              <w:t>2026年</w:t>
            </w:r>
          </w:p>
        </w:tc>
        <w:tc>
          <w:tcPr>
            <w:tcW w:w="1692" w:type="dxa"/>
            <w:vMerge w:val="continue"/>
            <w:tcBorders>
              <w:left w:val="single" w:color="000000" w:sz="4" w:space="0"/>
              <w:bottom w:val="single" w:color="000000" w:sz="4" w:space="0"/>
              <w:right w:val="single" w:color="000000" w:sz="4" w:space="0"/>
            </w:tcBorders>
            <w:noWrap/>
            <w:vAlign w:val="center"/>
          </w:tcPr>
          <w:p>
            <w:pPr>
              <w:widowControl/>
              <w:ind w:firstLine="480"/>
              <w:jc w:val="left"/>
              <w:textAlignment w:val="center"/>
              <w:rPr>
                <w:rFonts w:eastAsia="黑体"/>
                <w:b/>
                <w:bCs/>
                <w:color w:val="000000"/>
                <w:sz w:val="24"/>
              </w:rPr>
            </w:pPr>
          </w:p>
        </w:tc>
      </w:tr>
      <w:tr>
        <w:tblPrEx>
          <w:tblLayout w:type="fixed"/>
          <w:tblCellMar>
            <w:top w:w="0" w:type="dxa"/>
            <w:left w:w="108" w:type="dxa"/>
            <w:bottom w:w="0" w:type="dxa"/>
            <w:right w:w="108" w:type="dxa"/>
          </w:tblCellMar>
        </w:tblPrEx>
        <w:trPr>
          <w:trHeight w:val="624" w:hRule="atLeas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合计</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全区</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140</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ind w:firstLine="442"/>
              <w:jc w:val="left"/>
              <w:textAlignment w:val="center"/>
              <w:rPr>
                <w:rFonts w:eastAsia="仿宋"/>
                <w:b/>
                <w:bCs/>
                <w:color w:val="000000"/>
                <w:sz w:val="24"/>
              </w:rPr>
            </w:pPr>
            <w:r>
              <w:rPr>
                <w:rFonts w:eastAsia="仿宋"/>
                <w:b/>
                <w:bCs/>
                <w:color w:val="000000"/>
                <w:sz w:val="24"/>
              </w:rPr>
              <w:t>140</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ind w:firstLine="442"/>
              <w:jc w:val="left"/>
              <w:textAlignment w:val="center"/>
              <w:rPr>
                <w:rFonts w:eastAsia="仿宋"/>
                <w:b/>
                <w:bCs/>
                <w:color w:val="000000"/>
                <w:sz w:val="24"/>
              </w:rPr>
            </w:pPr>
            <w:r>
              <w:rPr>
                <w:rFonts w:eastAsia="仿宋"/>
                <w:b/>
                <w:bCs/>
                <w:color w:val="000000"/>
                <w:sz w:val="24"/>
              </w:rPr>
              <w:t>140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420</w:t>
            </w:r>
          </w:p>
        </w:tc>
      </w:tr>
      <w:tr>
        <w:tblPrEx>
          <w:tblLayout w:type="fixed"/>
          <w:tblCellMar>
            <w:top w:w="0" w:type="dxa"/>
            <w:left w:w="108" w:type="dxa"/>
            <w:bottom w:w="0" w:type="dxa"/>
            <w:right w:w="108" w:type="dxa"/>
          </w:tblCellMar>
        </w:tblPrEx>
        <w:trPr>
          <w:trHeight w:val="624" w:hRule="atLeas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1</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税郭镇</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15</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15</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15</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45</w:t>
            </w:r>
          </w:p>
        </w:tc>
      </w:tr>
      <w:tr>
        <w:tblPrEx>
          <w:tblLayout w:type="fixed"/>
          <w:tblCellMar>
            <w:top w:w="0" w:type="dxa"/>
            <w:left w:w="108" w:type="dxa"/>
            <w:bottom w:w="0" w:type="dxa"/>
            <w:right w:w="108" w:type="dxa"/>
          </w:tblCellMar>
        </w:tblPrEx>
        <w:trPr>
          <w:trHeight w:val="624" w:hRule="atLeas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2</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西王庄镇</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15</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15</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15</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45</w:t>
            </w:r>
          </w:p>
        </w:tc>
      </w:tr>
      <w:tr>
        <w:tblPrEx>
          <w:tblLayout w:type="fixed"/>
          <w:tblCellMar>
            <w:top w:w="0" w:type="dxa"/>
            <w:left w:w="108" w:type="dxa"/>
            <w:bottom w:w="0" w:type="dxa"/>
            <w:right w:w="108" w:type="dxa"/>
          </w:tblCellMar>
        </w:tblPrEx>
        <w:trPr>
          <w:trHeight w:val="624" w:hRule="atLeas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3</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孟庄镇</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15</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15</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15</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45</w:t>
            </w:r>
          </w:p>
        </w:tc>
      </w:tr>
      <w:tr>
        <w:tblPrEx>
          <w:tblLayout w:type="fixed"/>
          <w:tblCellMar>
            <w:top w:w="0" w:type="dxa"/>
            <w:left w:w="108" w:type="dxa"/>
            <w:bottom w:w="0" w:type="dxa"/>
            <w:right w:w="108" w:type="dxa"/>
          </w:tblCellMar>
        </w:tblPrEx>
        <w:trPr>
          <w:trHeight w:val="624" w:hRule="atLeas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4</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永安镇</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15</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15</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15</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45</w:t>
            </w:r>
          </w:p>
        </w:tc>
      </w:tr>
      <w:tr>
        <w:tblPrEx>
          <w:tblLayout w:type="fixed"/>
          <w:tblCellMar>
            <w:top w:w="0" w:type="dxa"/>
            <w:left w:w="108" w:type="dxa"/>
            <w:bottom w:w="0" w:type="dxa"/>
            <w:right w:w="108" w:type="dxa"/>
          </w:tblCellMar>
        </w:tblPrEx>
        <w:trPr>
          <w:trHeight w:val="624" w:hRule="atLeas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5</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齐村镇</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15</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15</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15</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45</w:t>
            </w:r>
          </w:p>
        </w:tc>
      </w:tr>
      <w:tr>
        <w:tblPrEx>
          <w:tblLayout w:type="fixed"/>
          <w:tblCellMar>
            <w:top w:w="0" w:type="dxa"/>
            <w:left w:w="108" w:type="dxa"/>
            <w:bottom w:w="0" w:type="dxa"/>
            <w:right w:w="108" w:type="dxa"/>
          </w:tblCellMar>
        </w:tblPrEx>
        <w:trPr>
          <w:trHeight w:val="629" w:hRule="atLeas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6</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光明路街道</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15</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15</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15</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45</w:t>
            </w:r>
          </w:p>
        </w:tc>
      </w:tr>
      <w:tr>
        <w:tblPrEx>
          <w:tblLayout w:type="fixed"/>
          <w:tblCellMar>
            <w:top w:w="0" w:type="dxa"/>
            <w:left w:w="108" w:type="dxa"/>
            <w:bottom w:w="0" w:type="dxa"/>
            <w:right w:w="108" w:type="dxa"/>
          </w:tblCellMar>
        </w:tblPrEx>
        <w:trPr>
          <w:trHeight w:val="624" w:hRule="atLeas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7</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龙山路街道</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10</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10</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30</w:t>
            </w:r>
          </w:p>
        </w:tc>
      </w:tr>
      <w:tr>
        <w:tblPrEx>
          <w:tblLayout w:type="fixed"/>
          <w:tblCellMar>
            <w:top w:w="0" w:type="dxa"/>
            <w:left w:w="108" w:type="dxa"/>
            <w:bottom w:w="0" w:type="dxa"/>
            <w:right w:w="108" w:type="dxa"/>
          </w:tblCellMar>
        </w:tblPrEx>
        <w:trPr>
          <w:trHeight w:val="624" w:hRule="atLeas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8</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hint="eastAsia" w:eastAsia="仿宋"/>
                <w:b/>
                <w:bCs/>
                <w:color w:val="000000"/>
                <w:kern w:val="0"/>
                <w:sz w:val="24"/>
              </w:rPr>
              <w:t>垎</w:t>
            </w:r>
            <w:r>
              <w:rPr>
                <w:rFonts w:eastAsia="仿宋"/>
                <w:b/>
                <w:bCs/>
                <w:color w:val="000000"/>
                <w:kern w:val="0"/>
                <w:sz w:val="24"/>
              </w:rPr>
              <w:t>塔埠街道</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10</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10</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30</w:t>
            </w:r>
          </w:p>
        </w:tc>
      </w:tr>
      <w:tr>
        <w:tblPrEx>
          <w:tblLayout w:type="fixed"/>
          <w:tblCellMar>
            <w:top w:w="0" w:type="dxa"/>
            <w:left w:w="108" w:type="dxa"/>
            <w:bottom w:w="0" w:type="dxa"/>
            <w:right w:w="108" w:type="dxa"/>
          </w:tblCellMar>
        </w:tblPrEx>
        <w:trPr>
          <w:trHeight w:val="624" w:hRule="atLeas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9</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中心街街道</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10</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10</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30</w:t>
            </w:r>
          </w:p>
        </w:tc>
      </w:tr>
      <w:tr>
        <w:tblPrEx>
          <w:tblLayout w:type="fixed"/>
          <w:tblCellMar>
            <w:top w:w="0" w:type="dxa"/>
            <w:left w:w="108" w:type="dxa"/>
            <w:bottom w:w="0" w:type="dxa"/>
            <w:right w:w="108" w:type="dxa"/>
          </w:tblCellMar>
        </w:tblPrEx>
        <w:trPr>
          <w:trHeight w:val="624" w:hRule="atLeas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10</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文化路街道</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10</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10</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30</w:t>
            </w:r>
          </w:p>
        </w:tc>
      </w:tr>
      <w:tr>
        <w:tblPrEx>
          <w:tblLayout w:type="fixed"/>
          <w:tblCellMar>
            <w:top w:w="0" w:type="dxa"/>
            <w:left w:w="108" w:type="dxa"/>
            <w:bottom w:w="0" w:type="dxa"/>
            <w:right w:w="108" w:type="dxa"/>
          </w:tblCellMar>
        </w:tblPrEx>
        <w:trPr>
          <w:trHeight w:val="624" w:hRule="atLeas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11</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矿区街道</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10</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10</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249"/>
              <w:jc w:val="left"/>
              <w:textAlignment w:val="center"/>
              <w:rPr>
                <w:rFonts w:eastAsia="仿宋"/>
                <w:b/>
                <w:bCs/>
                <w:color w:val="000000"/>
                <w:sz w:val="24"/>
              </w:rPr>
            </w:pPr>
            <w:r>
              <w:rPr>
                <w:rFonts w:eastAsia="仿宋"/>
                <w:b/>
                <w:bCs/>
                <w:color w:val="000000"/>
                <w:sz w:val="24"/>
              </w:rPr>
              <w:t>10</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ind w:firstLine="718" w:firstLineChars="298"/>
              <w:jc w:val="left"/>
              <w:textAlignment w:val="center"/>
              <w:rPr>
                <w:rFonts w:eastAsia="仿宋"/>
                <w:b/>
                <w:bCs/>
                <w:color w:val="000000"/>
                <w:sz w:val="24"/>
              </w:rPr>
            </w:pPr>
            <w:r>
              <w:rPr>
                <w:rFonts w:eastAsia="仿宋"/>
                <w:b/>
                <w:bCs/>
                <w:color w:val="000000"/>
                <w:sz w:val="24"/>
              </w:rPr>
              <w:t>30</w:t>
            </w:r>
          </w:p>
        </w:tc>
      </w:tr>
    </w:tbl>
    <w:p>
      <w:pPr>
        <w:pStyle w:val="2"/>
        <w:ind w:firstLine="620"/>
        <w:rPr>
          <w:rFonts w:ascii="Times New Roman" w:hAnsi="Times New Roman" w:cs="Times New Roman"/>
          <w:b/>
          <w:bCs/>
          <w:sz w:val="24"/>
          <w:szCs w:val="24"/>
          <w:lang w:eastAsia="zh-CN"/>
        </w:rPr>
      </w:pPr>
    </w:p>
    <w:p>
      <w:pPr>
        <w:pStyle w:val="2"/>
        <w:ind w:firstLine="620"/>
        <w:rPr>
          <w:rFonts w:ascii="Times New Roman" w:hAnsi="Times New Roman" w:cs="Times New Roman"/>
          <w:b/>
          <w:bCs/>
          <w:lang w:eastAsia="zh-CN"/>
        </w:rPr>
      </w:pPr>
    </w:p>
    <w:tbl>
      <w:tblPr>
        <w:tblStyle w:val="13"/>
        <w:tblW w:w="9514" w:type="dxa"/>
        <w:jc w:val="center"/>
        <w:tblInd w:w="0" w:type="dxa"/>
        <w:tblLayout w:type="fixed"/>
        <w:tblCellMar>
          <w:top w:w="0" w:type="dxa"/>
          <w:left w:w="108" w:type="dxa"/>
          <w:bottom w:w="0" w:type="dxa"/>
          <w:right w:w="108" w:type="dxa"/>
        </w:tblCellMar>
      </w:tblPr>
      <w:tblGrid>
        <w:gridCol w:w="951"/>
        <w:gridCol w:w="2053"/>
        <w:gridCol w:w="1513"/>
        <w:gridCol w:w="1753"/>
        <w:gridCol w:w="1614"/>
        <w:gridCol w:w="1630"/>
      </w:tblGrid>
      <w:tr>
        <w:tblPrEx>
          <w:tblLayout w:type="fixed"/>
          <w:tblCellMar>
            <w:top w:w="0" w:type="dxa"/>
            <w:left w:w="108" w:type="dxa"/>
            <w:bottom w:w="0" w:type="dxa"/>
            <w:right w:w="108" w:type="dxa"/>
          </w:tblCellMar>
        </w:tblPrEx>
        <w:trPr>
          <w:trHeight w:val="694" w:hRule="atLeast"/>
          <w:jc w:val="center"/>
        </w:trPr>
        <w:tc>
          <w:tcPr>
            <w:tcW w:w="9514" w:type="dxa"/>
            <w:gridSpan w:val="6"/>
            <w:tcBorders>
              <w:top w:val="nil"/>
              <w:left w:val="nil"/>
              <w:bottom w:val="nil"/>
              <w:right w:val="nil"/>
            </w:tcBorders>
            <w:noWrap/>
            <w:vAlign w:val="center"/>
          </w:tcPr>
          <w:p>
            <w:pPr>
              <w:widowControl/>
              <w:ind w:firstLine="562"/>
              <w:jc w:val="left"/>
              <w:textAlignment w:val="center"/>
              <w:rPr>
                <w:rFonts w:eastAsia="黑体"/>
                <w:b/>
                <w:bCs/>
                <w:color w:val="000000"/>
                <w:sz w:val="28"/>
                <w:szCs w:val="28"/>
              </w:rPr>
            </w:pPr>
            <w:r>
              <w:rPr>
                <w:rFonts w:eastAsia="黑体"/>
                <w:b/>
                <w:bCs/>
                <w:color w:val="000000"/>
                <w:kern w:val="0"/>
                <w:sz w:val="28"/>
                <w:szCs w:val="28"/>
              </w:rPr>
              <w:t>二、国家知识产权优势、示范企业（家）</w:t>
            </w:r>
          </w:p>
        </w:tc>
      </w:tr>
      <w:tr>
        <w:tblPrEx>
          <w:tblLayout w:type="fixed"/>
          <w:tblCellMar>
            <w:top w:w="0" w:type="dxa"/>
            <w:left w:w="108" w:type="dxa"/>
            <w:bottom w:w="0" w:type="dxa"/>
            <w:right w:w="108" w:type="dxa"/>
          </w:tblCellMar>
        </w:tblPrEx>
        <w:trPr>
          <w:trHeight w:val="333" w:hRule="atLeast"/>
          <w:jc w:val="center"/>
        </w:trPr>
        <w:tc>
          <w:tcPr>
            <w:tcW w:w="95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黑体"/>
                <w:b/>
                <w:bCs/>
                <w:color w:val="000000"/>
                <w:sz w:val="24"/>
              </w:rPr>
            </w:pPr>
            <w:r>
              <w:rPr>
                <w:rFonts w:eastAsia="黑体"/>
                <w:b/>
                <w:bCs/>
                <w:color w:val="000000"/>
                <w:sz w:val="24"/>
              </w:rPr>
              <w:t>序号</w:t>
            </w:r>
          </w:p>
        </w:tc>
        <w:tc>
          <w:tcPr>
            <w:tcW w:w="205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黑体"/>
                <w:b/>
                <w:bCs/>
                <w:color w:val="000000"/>
                <w:sz w:val="24"/>
              </w:rPr>
            </w:pPr>
            <w:r>
              <w:rPr>
                <w:rFonts w:eastAsia="黑体"/>
                <w:b/>
                <w:bCs/>
                <w:color w:val="000000"/>
                <w:kern w:val="0"/>
                <w:sz w:val="24"/>
              </w:rPr>
              <w:t>镇（街）</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2017" w:firstLineChars="837"/>
              <w:textAlignment w:val="center"/>
              <w:rPr>
                <w:rFonts w:eastAsia="黑体"/>
                <w:b/>
                <w:bCs/>
                <w:color w:val="000000"/>
                <w:kern w:val="0"/>
                <w:sz w:val="24"/>
              </w:rPr>
            </w:pPr>
            <w:r>
              <w:rPr>
                <w:rFonts w:eastAsia="黑体"/>
                <w:b/>
                <w:bCs/>
                <w:color w:val="000000"/>
                <w:kern w:val="0"/>
                <w:sz w:val="24"/>
              </w:rPr>
              <w:t>目标值</w:t>
            </w:r>
          </w:p>
        </w:tc>
        <w:tc>
          <w:tcPr>
            <w:tcW w:w="1630" w:type="dxa"/>
            <w:vMerge w:val="restart"/>
            <w:tcBorders>
              <w:top w:val="single" w:color="000000" w:sz="4" w:space="0"/>
              <w:left w:val="single" w:color="000000" w:sz="4" w:space="0"/>
              <w:right w:val="single" w:color="000000" w:sz="4" w:space="0"/>
            </w:tcBorders>
            <w:noWrap/>
            <w:vAlign w:val="center"/>
          </w:tcPr>
          <w:p>
            <w:pPr>
              <w:widowControl/>
              <w:ind w:firstLine="482"/>
              <w:textAlignment w:val="center"/>
              <w:rPr>
                <w:rFonts w:eastAsia="黑体"/>
                <w:b/>
                <w:bCs/>
                <w:color w:val="000000"/>
                <w:sz w:val="24"/>
              </w:rPr>
            </w:pPr>
            <w:r>
              <w:rPr>
                <w:rFonts w:eastAsia="黑体"/>
                <w:b/>
                <w:bCs/>
                <w:color w:val="000000"/>
                <w:kern w:val="0"/>
                <w:sz w:val="24"/>
              </w:rPr>
              <w:t>总数值</w:t>
            </w:r>
          </w:p>
        </w:tc>
      </w:tr>
      <w:tr>
        <w:tblPrEx>
          <w:tblLayout w:type="fixed"/>
          <w:tblCellMar>
            <w:top w:w="0" w:type="dxa"/>
            <w:left w:w="108" w:type="dxa"/>
            <w:bottom w:w="0" w:type="dxa"/>
            <w:right w:w="108" w:type="dxa"/>
          </w:tblCellMar>
        </w:tblPrEx>
        <w:trPr>
          <w:trHeight w:val="333"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eastAsia="黑体"/>
                <w:b/>
                <w:bCs/>
                <w:color w:val="000000"/>
                <w:sz w:val="24"/>
              </w:rPr>
            </w:pPr>
          </w:p>
        </w:tc>
        <w:tc>
          <w:tcPr>
            <w:tcW w:w="2053"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eastAsia="黑体"/>
                <w:b/>
                <w:bCs/>
                <w:color w:val="000000"/>
                <w:sz w:val="24"/>
              </w:rPr>
            </w:pP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1544" w:firstLineChars="641"/>
              <w:textAlignment w:val="center"/>
              <w:rPr>
                <w:rFonts w:eastAsia="黑体"/>
                <w:b/>
                <w:bCs/>
                <w:color w:val="000000"/>
                <w:sz w:val="24"/>
              </w:rPr>
            </w:pPr>
            <w:r>
              <w:rPr>
                <w:rFonts w:eastAsia="黑体"/>
                <w:b/>
                <w:bCs/>
                <w:color w:val="000000"/>
                <w:kern w:val="0"/>
                <w:sz w:val="24"/>
              </w:rPr>
              <w:t>2024年</w:t>
            </w:r>
            <w:r>
              <w:rPr>
                <w:rFonts w:hint="eastAsia" w:eastAsia="黑体"/>
                <w:b/>
                <w:bCs/>
                <w:color w:val="000000"/>
                <w:kern w:val="0"/>
                <w:sz w:val="24"/>
              </w:rPr>
              <w:t>—</w:t>
            </w:r>
            <w:r>
              <w:rPr>
                <w:rFonts w:eastAsia="黑体"/>
                <w:b/>
                <w:bCs/>
                <w:color w:val="000000"/>
                <w:kern w:val="0"/>
                <w:sz w:val="24"/>
              </w:rPr>
              <w:t>2026年</w:t>
            </w:r>
          </w:p>
        </w:tc>
        <w:tc>
          <w:tcPr>
            <w:tcW w:w="1630" w:type="dxa"/>
            <w:vMerge w:val="continue"/>
            <w:tcBorders>
              <w:left w:val="single" w:color="000000" w:sz="4" w:space="0"/>
              <w:bottom w:val="single" w:color="000000" w:sz="4" w:space="0"/>
              <w:right w:val="single" w:color="000000" w:sz="4" w:space="0"/>
            </w:tcBorders>
            <w:noWrap/>
            <w:vAlign w:val="center"/>
          </w:tcPr>
          <w:p>
            <w:pPr>
              <w:widowControl/>
              <w:ind w:firstLine="480"/>
              <w:jc w:val="center"/>
              <w:textAlignment w:val="center"/>
              <w:rPr>
                <w:rFonts w:eastAsia="黑体"/>
                <w:b/>
                <w:bCs/>
                <w:color w:val="000000"/>
                <w:sz w:val="24"/>
              </w:rPr>
            </w:pP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合计</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全区</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17</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17</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1</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税郭镇</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2</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2</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2</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西王庄镇</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2</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2</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3</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孟庄镇</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2</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2</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4</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永安镇</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2</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2</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齐村镇</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2</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2</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6</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光明路街道</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2</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2</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7</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龙山路街道</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1</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8</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hint="eastAsia" w:eastAsia="仿宋"/>
                <w:b/>
                <w:bCs/>
                <w:color w:val="000000"/>
                <w:kern w:val="0"/>
                <w:sz w:val="24"/>
              </w:rPr>
              <w:t>垎</w:t>
            </w:r>
            <w:r>
              <w:rPr>
                <w:rFonts w:eastAsia="仿宋"/>
                <w:b/>
                <w:bCs/>
                <w:color w:val="000000"/>
                <w:kern w:val="0"/>
                <w:sz w:val="24"/>
              </w:rPr>
              <w:t>塔埠街道</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1</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9</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中心街街道</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1</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10</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文化路街道</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1</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11</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矿区街道</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1</w:t>
            </w:r>
          </w:p>
        </w:tc>
      </w:tr>
      <w:tr>
        <w:tblPrEx>
          <w:tblLayout w:type="fixed"/>
          <w:tblCellMar>
            <w:top w:w="0" w:type="dxa"/>
            <w:left w:w="108" w:type="dxa"/>
            <w:bottom w:w="0" w:type="dxa"/>
            <w:right w:w="108" w:type="dxa"/>
          </w:tblCellMar>
        </w:tblPrEx>
        <w:trPr>
          <w:trHeight w:val="503" w:hRule="atLeast"/>
          <w:jc w:val="center"/>
        </w:trPr>
        <w:tc>
          <w:tcPr>
            <w:tcW w:w="9514" w:type="dxa"/>
            <w:gridSpan w:val="6"/>
            <w:tcBorders>
              <w:top w:val="nil"/>
              <w:left w:val="nil"/>
              <w:bottom w:val="nil"/>
              <w:right w:val="nil"/>
            </w:tcBorders>
            <w:noWrap/>
            <w:vAlign w:val="center"/>
          </w:tcPr>
          <w:p>
            <w:pPr>
              <w:widowControl/>
              <w:ind w:firstLine="560"/>
              <w:jc w:val="left"/>
              <w:textAlignment w:val="center"/>
              <w:rPr>
                <w:rFonts w:eastAsia="黑体"/>
                <w:b/>
                <w:bCs/>
                <w:color w:val="000000"/>
                <w:kern w:val="0"/>
                <w:sz w:val="28"/>
                <w:szCs w:val="28"/>
              </w:rPr>
            </w:pPr>
          </w:p>
          <w:p>
            <w:pPr>
              <w:widowControl/>
              <w:ind w:firstLine="562"/>
              <w:jc w:val="left"/>
              <w:textAlignment w:val="center"/>
              <w:rPr>
                <w:rFonts w:eastAsia="黑体"/>
                <w:b/>
                <w:bCs/>
                <w:color w:val="000000"/>
                <w:kern w:val="0"/>
                <w:sz w:val="28"/>
                <w:szCs w:val="28"/>
              </w:rPr>
            </w:pPr>
          </w:p>
          <w:p>
            <w:pPr>
              <w:widowControl/>
              <w:ind w:firstLine="562"/>
              <w:jc w:val="left"/>
              <w:textAlignment w:val="center"/>
              <w:rPr>
                <w:rFonts w:eastAsia="黑体"/>
                <w:b/>
                <w:bCs/>
                <w:color w:val="000000"/>
                <w:sz w:val="28"/>
                <w:szCs w:val="28"/>
              </w:rPr>
            </w:pPr>
            <w:r>
              <w:rPr>
                <w:rFonts w:eastAsia="黑体"/>
                <w:b/>
                <w:bCs/>
                <w:color w:val="000000"/>
                <w:kern w:val="0"/>
                <w:sz w:val="28"/>
                <w:szCs w:val="28"/>
              </w:rPr>
              <w:t>三、知识产权专利开放许可（项）</w:t>
            </w:r>
          </w:p>
        </w:tc>
      </w:tr>
      <w:tr>
        <w:tblPrEx>
          <w:tblLayout w:type="fixed"/>
          <w:tblCellMar>
            <w:top w:w="0" w:type="dxa"/>
            <w:left w:w="108" w:type="dxa"/>
            <w:bottom w:w="0" w:type="dxa"/>
            <w:right w:w="108" w:type="dxa"/>
          </w:tblCellMar>
        </w:tblPrEx>
        <w:trPr>
          <w:trHeight w:val="490" w:hRule="exact"/>
          <w:jc w:val="center"/>
        </w:trPr>
        <w:tc>
          <w:tcPr>
            <w:tcW w:w="95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黑体"/>
                <w:b/>
                <w:bCs/>
                <w:color w:val="000000"/>
                <w:sz w:val="24"/>
              </w:rPr>
            </w:pPr>
            <w:r>
              <w:rPr>
                <w:rFonts w:eastAsia="黑体"/>
                <w:b/>
                <w:bCs/>
                <w:color w:val="000000"/>
                <w:kern w:val="0"/>
                <w:sz w:val="24"/>
              </w:rPr>
              <w:t>序号</w:t>
            </w:r>
          </w:p>
        </w:tc>
        <w:tc>
          <w:tcPr>
            <w:tcW w:w="205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黑体"/>
                <w:b/>
                <w:bCs/>
                <w:color w:val="000000"/>
                <w:sz w:val="24"/>
              </w:rPr>
            </w:pPr>
            <w:r>
              <w:rPr>
                <w:rFonts w:eastAsia="黑体"/>
                <w:b/>
                <w:bCs/>
                <w:color w:val="000000"/>
                <w:kern w:val="0"/>
                <w:sz w:val="24"/>
              </w:rPr>
              <w:t>镇（街）</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2017" w:firstLineChars="837"/>
              <w:textAlignment w:val="center"/>
              <w:rPr>
                <w:rFonts w:eastAsia="黑体"/>
                <w:b/>
                <w:bCs/>
                <w:color w:val="000000"/>
                <w:kern w:val="0"/>
                <w:sz w:val="24"/>
              </w:rPr>
            </w:pPr>
            <w:r>
              <w:rPr>
                <w:rFonts w:eastAsia="黑体"/>
                <w:b/>
                <w:bCs/>
                <w:color w:val="000000"/>
                <w:kern w:val="0"/>
                <w:sz w:val="24"/>
              </w:rPr>
              <w:t>目标值</w:t>
            </w:r>
          </w:p>
        </w:tc>
        <w:tc>
          <w:tcPr>
            <w:tcW w:w="1630"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eastAsia="黑体"/>
                <w:b/>
                <w:bCs/>
                <w:color w:val="000000"/>
                <w:sz w:val="24"/>
              </w:rPr>
            </w:pPr>
            <w:r>
              <w:rPr>
                <w:rFonts w:eastAsia="黑体"/>
                <w:b/>
                <w:bCs/>
                <w:color w:val="000000"/>
                <w:kern w:val="0"/>
                <w:sz w:val="24"/>
              </w:rPr>
              <w:t>总数值</w:t>
            </w:r>
          </w:p>
        </w:tc>
      </w:tr>
      <w:tr>
        <w:tblPrEx>
          <w:tblLayout w:type="fixed"/>
          <w:tblCellMar>
            <w:top w:w="0" w:type="dxa"/>
            <w:left w:w="108" w:type="dxa"/>
            <w:bottom w:w="0" w:type="dxa"/>
            <w:right w:w="108" w:type="dxa"/>
          </w:tblCellMar>
        </w:tblPrEx>
        <w:trPr>
          <w:trHeight w:val="580" w:hRule="exact"/>
          <w:jc w:val="center"/>
        </w:trPr>
        <w:tc>
          <w:tcPr>
            <w:tcW w:w="951"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eastAsia="黑体"/>
                <w:b/>
                <w:bCs/>
                <w:color w:val="000000"/>
                <w:sz w:val="24"/>
              </w:rPr>
            </w:pPr>
          </w:p>
        </w:tc>
        <w:tc>
          <w:tcPr>
            <w:tcW w:w="2053"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eastAsia="黑体"/>
                <w:b/>
                <w:bCs/>
                <w:color w:val="000000"/>
                <w:sz w:val="24"/>
              </w:rPr>
            </w:pP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ind w:firstLine="354" w:firstLineChars="147"/>
              <w:textAlignment w:val="center"/>
              <w:rPr>
                <w:rFonts w:eastAsia="黑体"/>
                <w:b/>
                <w:bCs/>
                <w:color w:val="000000"/>
                <w:sz w:val="24"/>
              </w:rPr>
            </w:pPr>
            <w:r>
              <w:rPr>
                <w:rFonts w:eastAsia="黑体"/>
                <w:b/>
                <w:bCs/>
                <w:color w:val="000000"/>
                <w:kern w:val="0"/>
                <w:sz w:val="24"/>
              </w:rPr>
              <w:t>2024年</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ind w:firstLine="354" w:firstLineChars="147"/>
              <w:textAlignment w:val="center"/>
              <w:rPr>
                <w:rFonts w:eastAsia="黑体"/>
                <w:b/>
                <w:bCs/>
                <w:color w:val="000000"/>
                <w:sz w:val="24"/>
              </w:rPr>
            </w:pPr>
            <w:r>
              <w:rPr>
                <w:rFonts w:eastAsia="黑体"/>
                <w:b/>
                <w:bCs/>
                <w:color w:val="000000"/>
                <w:kern w:val="0"/>
                <w:sz w:val="24"/>
              </w:rPr>
              <w:t>2025年</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ind w:firstLine="354" w:firstLineChars="147"/>
              <w:textAlignment w:val="center"/>
              <w:rPr>
                <w:rFonts w:eastAsia="黑体"/>
                <w:b/>
                <w:bCs/>
                <w:color w:val="000000"/>
                <w:sz w:val="24"/>
              </w:rPr>
            </w:pPr>
            <w:r>
              <w:rPr>
                <w:rFonts w:eastAsia="黑体"/>
                <w:b/>
                <w:bCs/>
                <w:color w:val="000000"/>
                <w:kern w:val="0"/>
                <w:sz w:val="24"/>
              </w:rPr>
              <w:t>2026年</w:t>
            </w:r>
          </w:p>
        </w:tc>
        <w:tc>
          <w:tcPr>
            <w:tcW w:w="1630" w:type="dxa"/>
            <w:vMerge w:val="continue"/>
            <w:tcBorders>
              <w:left w:val="single" w:color="000000" w:sz="4" w:space="0"/>
              <w:bottom w:val="single" w:color="000000" w:sz="4" w:space="0"/>
              <w:right w:val="single" w:color="000000" w:sz="4" w:space="0"/>
            </w:tcBorders>
            <w:noWrap/>
            <w:vAlign w:val="center"/>
          </w:tcPr>
          <w:p>
            <w:pPr>
              <w:widowControl/>
              <w:ind w:firstLine="480"/>
              <w:jc w:val="center"/>
              <w:textAlignment w:val="center"/>
              <w:rPr>
                <w:rFonts w:eastAsia="黑体"/>
                <w:b/>
                <w:bCs/>
                <w:color w:val="000000"/>
                <w:sz w:val="24"/>
              </w:rPr>
            </w:pP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合计</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全区</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55</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55</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55</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165</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1</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税郭镇</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15</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2</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西王庄镇</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15</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3</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孟庄镇</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15</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4</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永安镇</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15</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齐村镇</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15</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6</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光明路街道</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15</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7</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龙山路街道</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15</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8</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各塔埠街道</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15</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9</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中心街街道</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15</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10</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文化路街道</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5</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15</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11</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矿区街道</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ind w:firstLine="236" w:firstLineChars="98"/>
              <w:jc w:val="center"/>
              <w:textAlignment w:val="center"/>
              <w:rPr>
                <w:rFonts w:eastAsia="仿宋"/>
                <w:b/>
                <w:bCs/>
                <w:color w:val="000000"/>
                <w:kern w:val="0"/>
                <w:sz w:val="24"/>
              </w:rPr>
            </w:pPr>
            <w:r>
              <w:rPr>
                <w:rFonts w:eastAsia="仿宋"/>
                <w:b/>
                <w:bCs/>
                <w:color w:val="000000"/>
                <w:kern w:val="0"/>
                <w:sz w:val="24"/>
              </w:rPr>
              <w:t>5</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5</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kern w:val="0"/>
                <w:sz w:val="24"/>
              </w:rPr>
            </w:pPr>
            <w:r>
              <w:rPr>
                <w:rFonts w:eastAsia="仿宋"/>
                <w:b/>
                <w:bCs/>
                <w:color w:val="000000"/>
                <w:kern w:val="0"/>
                <w:sz w:val="24"/>
              </w:rPr>
              <w:t>15</w:t>
            </w:r>
          </w:p>
        </w:tc>
      </w:tr>
      <w:tr>
        <w:tblPrEx>
          <w:tblLayout w:type="fixed"/>
          <w:tblCellMar>
            <w:top w:w="0" w:type="dxa"/>
            <w:left w:w="108" w:type="dxa"/>
            <w:bottom w:w="0" w:type="dxa"/>
            <w:right w:w="108" w:type="dxa"/>
          </w:tblCellMar>
        </w:tblPrEx>
        <w:trPr>
          <w:trHeight w:val="90" w:hRule="atLeast"/>
          <w:jc w:val="center"/>
        </w:trPr>
        <w:tc>
          <w:tcPr>
            <w:tcW w:w="9514" w:type="dxa"/>
            <w:gridSpan w:val="6"/>
            <w:tcBorders>
              <w:top w:val="nil"/>
              <w:left w:val="nil"/>
              <w:bottom w:val="nil"/>
              <w:right w:val="nil"/>
            </w:tcBorders>
            <w:noWrap/>
            <w:vAlign w:val="center"/>
          </w:tcPr>
          <w:p>
            <w:pPr>
              <w:widowControl/>
              <w:ind w:firstLine="562"/>
              <w:jc w:val="left"/>
              <w:textAlignment w:val="center"/>
              <w:rPr>
                <w:rFonts w:eastAsia="黑体"/>
                <w:b/>
                <w:bCs/>
                <w:color w:val="000000"/>
                <w:kern w:val="0"/>
                <w:sz w:val="28"/>
                <w:szCs w:val="28"/>
              </w:rPr>
            </w:pPr>
          </w:p>
          <w:p>
            <w:pPr>
              <w:widowControl/>
              <w:jc w:val="left"/>
              <w:textAlignment w:val="center"/>
              <w:rPr>
                <w:rFonts w:eastAsia="黑体"/>
                <w:b/>
                <w:bCs/>
                <w:color w:val="000000"/>
                <w:kern w:val="0"/>
                <w:sz w:val="28"/>
                <w:szCs w:val="28"/>
              </w:rPr>
            </w:pPr>
          </w:p>
          <w:p>
            <w:pPr>
              <w:widowControl/>
              <w:ind w:firstLine="562"/>
              <w:jc w:val="left"/>
              <w:textAlignment w:val="center"/>
              <w:rPr>
                <w:rFonts w:eastAsia="黑体"/>
                <w:b/>
                <w:bCs/>
                <w:color w:val="000000"/>
                <w:sz w:val="28"/>
                <w:szCs w:val="28"/>
              </w:rPr>
            </w:pPr>
            <w:r>
              <w:rPr>
                <w:rFonts w:eastAsia="黑体"/>
                <w:b/>
                <w:bCs/>
                <w:color w:val="000000"/>
                <w:kern w:val="0"/>
                <w:sz w:val="28"/>
                <w:szCs w:val="28"/>
              </w:rPr>
              <w:t>四、知识产权商标品牌培育指导站（家）</w:t>
            </w:r>
          </w:p>
        </w:tc>
      </w:tr>
      <w:tr>
        <w:tblPrEx>
          <w:tblLayout w:type="fixed"/>
          <w:tblCellMar>
            <w:top w:w="0" w:type="dxa"/>
            <w:left w:w="108" w:type="dxa"/>
            <w:bottom w:w="0" w:type="dxa"/>
            <w:right w:w="108" w:type="dxa"/>
          </w:tblCellMar>
        </w:tblPrEx>
        <w:trPr>
          <w:trHeight w:val="570" w:hRule="exact"/>
          <w:jc w:val="center"/>
        </w:trPr>
        <w:tc>
          <w:tcPr>
            <w:tcW w:w="95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黑体"/>
                <w:b/>
                <w:bCs/>
                <w:color w:val="000000"/>
                <w:sz w:val="24"/>
              </w:rPr>
            </w:pPr>
            <w:r>
              <w:rPr>
                <w:rFonts w:eastAsia="黑体"/>
                <w:b/>
                <w:bCs/>
                <w:color w:val="000000"/>
                <w:kern w:val="0"/>
                <w:sz w:val="24"/>
              </w:rPr>
              <w:t>序号</w:t>
            </w:r>
          </w:p>
        </w:tc>
        <w:tc>
          <w:tcPr>
            <w:tcW w:w="205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黑体"/>
                <w:b/>
                <w:bCs/>
                <w:color w:val="000000"/>
                <w:sz w:val="24"/>
              </w:rPr>
            </w:pPr>
            <w:r>
              <w:rPr>
                <w:rFonts w:eastAsia="黑体"/>
                <w:b/>
                <w:bCs/>
                <w:color w:val="000000"/>
                <w:kern w:val="0"/>
                <w:sz w:val="24"/>
              </w:rPr>
              <w:t>镇（街）</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黑体"/>
                <w:b/>
                <w:bCs/>
                <w:color w:val="000000"/>
                <w:kern w:val="0"/>
                <w:sz w:val="24"/>
              </w:rPr>
            </w:pPr>
            <w:r>
              <w:rPr>
                <w:rFonts w:eastAsia="黑体"/>
                <w:b/>
                <w:bCs/>
                <w:color w:val="000000"/>
                <w:kern w:val="0"/>
                <w:sz w:val="24"/>
              </w:rPr>
              <w:t>目标值</w:t>
            </w:r>
          </w:p>
        </w:tc>
        <w:tc>
          <w:tcPr>
            <w:tcW w:w="1630"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eastAsia="黑体"/>
                <w:b/>
                <w:bCs/>
                <w:color w:val="000000"/>
                <w:sz w:val="24"/>
              </w:rPr>
            </w:pPr>
            <w:r>
              <w:rPr>
                <w:rFonts w:eastAsia="黑体"/>
                <w:b/>
                <w:bCs/>
                <w:color w:val="000000"/>
                <w:kern w:val="0"/>
                <w:sz w:val="24"/>
              </w:rPr>
              <w:t>总数值</w:t>
            </w:r>
          </w:p>
        </w:tc>
      </w:tr>
      <w:tr>
        <w:tblPrEx>
          <w:tblLayout w:type="fixed"/>
          <w:tblCellMar>
            <w:top w:w="0" w:type="dxa"/>
            <w:left w:w="108" w:type="dxa"/>
            <w:bottom w:w="0" w:type="dxa"/>
            <w:right w:w="108" w:type="dxa"/>
          </w:tblCellMar>
        </w:tblPrEx>
        <w:trPr>
          <w:trHeight w:val="565" w:hRule="exact"/>
          <w:jc w:val="center"/>
        </w:trPr>
        <w:tc>
          <w:tcPr>
            <w:tcW w:w="951"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eastAsia="黑体"/>
                <w:b/>
                <w:bCs/>
                <w:color w:val="000000"/>
                <w:sz w:val="24"/>
              </w:rPr>
            </w:pPr>
          </w:p>
        </w:tc>
        <w:tc>
          <w:tcPr>
            <w:tcW w:w="2053"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eastAsia="黑体"/>
                <w:b/>
                <w:bCs/>
                <w:color w:val="000000"/>
                <w:sz w:val="24"/>
              </w:rPr>
            </w:pP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黑体"/>
                <w:b/>
                <w:bCs/>
                <w:color w:val="000000"/>
                <w:sz w:val="24"/>
              </w:rPr>
            </w:pPr>
            <w:r>
              <w:rPr>
                <w:rFonts w:eastAsia="黑体"/>
                <w:b/>
                <w:bCs/>
                <w:color w:val="000000"/>
                <w:kern w:val="0"/>
                <w:sz w:val="24"/>
              </w:rPr>
              <w:t>2024年</w:t>
            </w:r>
            <w:r>
              <w:rPr>
                <w:rFonts w:hint="eastAsia" w:eastAsia="黑体"/>
                <w:b/>
                <w:bCs/>
                <w:color w:val="000000"/>
                <w:kern w:val="0"/>
                <w:sz w:val="24"/>
              </w:rPr>
              <w:t>—</w:t>
            </w:r>
            <w:r>
              <w:rPr>
                <w:rFonts w:eastAsia="黑体"/>
                <w:b/>
                <w:bCs/>
                <w:color w:val="000000"/>
                <w:kern w:val="0"/>
                <w:sz w:val="24"/>
              </w:rPr>
              <w:t>2026年</w:t>
            </w:r>
          </w:p>
        </w:tc>
        <w:tc>
          <w:tcPr>
            <w:tcW w:w="1630" w:type="dxa"/>
            <w:vMerge w:val="continue"/>
            <w:tcBorders>
              <w:left w:val="single" w:color="000000" w:sz="4" w:space="0"/>
              <w:bottom w:val="single" w:color="000000" w:sz="4" w:space="0"/>
              <w:right w:val="single" w:color="000000" w:sz="4" w:space="0"/>
            </w:tcBorders>
            <w:noWrap/>
            <w:vAlign w:val="center"/>
          </w:tcPr>
          <w:p>
            <w:pPr>
              <w:widowControl/>
              <w:ind w:firstLine="480"/>
              <w:jc w:val="center"/>
              <w:textAlignment w:val="center"/>
              <w:rPr>
                <w:rFonts w:eastAsia="黑体"/>
                <w:b/>
                <w:bCs/>
                <w:color w:val="000000"/>
                <w:sz w:val="24"/>
              </w:rPr>
            </w:pP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合计</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全区</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17</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17</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1</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税郭镇</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2</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2</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2</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西王庄镇</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2</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2</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3</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孟庄镇</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2</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2</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4</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永安镇</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2</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2</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5</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齐村镇</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2</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2</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6</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光明路街道</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2</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2</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7</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龙山路街道</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8</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hint="eastAsia" w:eastAsia="仿宋"/>
                <w:b/>
                <w:bCs/>
                <w:color w:val="000000"/>
                <w:kern w:val="0"/>
                <w:sz w:val="24"/>
              </w:rPr>
              <w:t>垎</w:t>
            </w:r>
            <w:r>
              <w:rPr>
                <w:rFonts w:eastAsia="仿宋"/>
                <w:b/>
                <w:bCs/>
                <w:color w:val="000000"/>
                <w:kern w:val="0"/>
                <w:sz w:val="24"/>
              </w:rPr>
              <w:t>塔埠街道</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9</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中心街街道</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10</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文化路街道</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11</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矿区街道</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r>
      <w:tr>
        <w:tblPrEx>
          <w:tblLayout w:type="fixed"/>
          <w:tblCellMar>
            <w:top w:w="0" w:type="dxa"/>
            <w:left w:w="108" w:type="dxa"/>
            <w:bottom w:w="0" w:type="dxa"/>
            <w:right w:w="108" w:type="dxa"/>
          </w:tblCellMar>
        </w:tblPrEx>
        <w:trPr>
          <w:trHeight w:val="397" w:hRule="atLeast"/>
          <w:jc w:val="center"/>
        </w:trPr>
        <w:tc>
          <w:tcPr>
            <w:tcW w:w="9514" w:type="dxa"/>
            <w:gridSpan w:val="6"/>
            <w:tcBorders>
              <w:top w:val="nil"/>
              <w:left w:val="nil"/>
              <w:bottom w:val="nil"/>
              <w:right w:val="nil"/>
            </w:tcBorders>
            <w:noWrap/>
            <w:vAlign w:val="center"/>
          </w:tcPr>
          <w:p>
            <w:pPr>
              <w:widowControl/>
              <w:ind w:firstLine="562"/>
              <w:jc w:val="left"/>
              <w:textAlignment w:val="center"/>
              <w:rPr>
                <w:rFonts w:eastAsia="黑体"/>
                <w:b/>
                <w:bCs/>
                <w:color w:val="000000"/>
                <w:kern w:val="0"/>
                <w:sz w:val="28"/>
                <w:szCs w:val="28"/>
              </w:rPr>
            </w:pPr>
          </w:p>
          <w:p>
            <w:pPr>
              <w:widowControl/>
              <w:ind w:firstLine="562"/>
              <w:jc w:val="left"/>
              <w:textAlignment w:val="center"/>
              <w:rPr>
                <w:rFonts w:eastAsia="黑体"/>
                <w:b/>
                <w:bCs/>
                <w:color w:val="000000"/>
                <w:kern w:val="0"/>
                <w:sz w:val="28"/>
                <w:szCs w:val="28"/>
              </w:rPr>
            </w:pPr>
          </w:p>
          <w:p>
            <w:pPr>
              <w:widowControl/>
              <w:ind w:firstLine="281" w:firstLineChars="100"/>
              <w:jc w:val="left"/>
              <w:textAlignment w:val="center"/>
              <w:rPr>
                <w:rFonts w:eastAsia="黑体"/>
                <w:b/>
                <w:bCs/>
                <w:color w:val="000000"/>
                <w:sz w:val="28"/>
                <w:szCs w:val="28"/>
              </w:rPr>
            </w:pPr>
            <w:r>
              <w:rPr>
                <w:rFonts w:eastAsia="黑体"/>
                <w:b/>
                <w:bCs/>
                <w:color w:val="000000"/>
                <w:kern w:val="0"/>
                <w:sz w:val="28"/>
                <w:szCs w:val="28"/>
              </w:rPr>
              <w:t>五、知识产权培训次数（次）</w:t>
            </w:r>
          </w:p>
        </w:tc>
      </w:tr>
      <w:tr>
        <w:tblPrEx>
          <w:tblLayout w:type="fixed"/>
          <w:tblCellMar>
            <w:top w:w="0" w:type="dxa"/>
            <w:left w:w="108" w:type="dxa"/>
            <w:bottom w:w="0" w:type="dxa"/>
            <w:right w:w="108" w:type="dxa"/>
          </w:tblCellMar>
        </w:tblPrEx>
        <w:trPr>
          <w:trHeight w:val="595" w:hRule="exact"/>
          <w:jc w:val="center"/>
        </w:trPr>
        <w:tc>
          <w:tcPr>
            <w:tcW w:w="95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黑体"/>
                <w:b/>
                <w:bCs/>
                <w:color w:val="000000"/>
                <w:sz w:val="24"/>
              </w:rPr>
            </w:pPr>
            <w:r>
              <w:rPr>
                <w:rFonts w:eastAsia="黑体"/>
                <w:b/>
                <w:bCs/>
                <w:color w:val="000000"/>
                <w:kern w:val="0"/>
                <w:sz w:val="24"/>
              </w:rPr>
              <w:t>序号</w:t>
            </w:r>
          </w:p>
        </w:tc>
        <w:tc>
          <w:tcPr>
            <w:tcW w:w="205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黑体"/>
                <w:b/>
                <w:bCs/>
                <w:color w:val="000000"/>
                <w:sz w:val="24"/>
              </w:rPr>
            </w:pPr>
            <w:r>
              <w:rPr>
                <w:rFonts w:eastAsia="黑体"/>
                <w:b/>
                <w:bCs/>
                <w:color w:val="000000"/>
                <w:kern w:val="0"/>
                <w:sz w:val="24"/>
              </w:rPr>
              <w:t>镇（街）</w:t>
            </w:r>
          </w:p>
        </w:tc>
        <w:tc>
          <w:tcPr>
            <w:tcW w:w="4880"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482"/>
              <w:jc w:val="center"/>
              <w:textAlignment w:val="center"/>
              <w:rPr>
                <w:rFonts w:eastAsia="黑体"/>
                <w:b/>
                <w:bCs/>
                <w:color w:val="000000"/>
                <w:kern w:val="0"/>
                <w:sz w:val="24"/>
              </w:rPr>
            </w:pPr>
            <w:r>
              <w:rPr>
                <w:rFonts w:eastAsia="黑体"/>
                <w:b/>
                <w:bCs/>
                <w:color w:val="000000"/>
                <w:kern w:val="0"/>
                <w:sz w:val="24"/>
              </w:rPr>
              <w:t>目标值</w:t>
            </w:r>
          </w:p>
        </w:tc>
        <w:tc>
          <w:tcPr>
            <w:tcW w:w="1630"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eastAsia="黑体"/>
                <w:b/>
                <w:bCs/>
                <w:color w:val="000000"/>
                <w:sz w:val="24"/>
              </w:rPr>
            </w:pPr>
            <w:r>
              <w:rPr>
                <w:rFonts w:eastAsia="黑体"/>
                <w:b/>
                <w:bCs/>
                <w:color w:val="000000"/>
                <w:kern w:val="0"/>
                <w:sz w:val="24"/>
              </w:rPr>
              <w:t>总数值</w:t>
            </w:r>
          </w:p>
        </w:tc>
      </w:tr>
      <w:tr>
        <w:tblPrEx>
          <w:tblLayout w:type="fixed"/>
          <w:tblCellMar>
            <w:top w:w="0" w:type="dxa"/>
            <w:left w:w="108" w:type="dxa"/>
            <w:bottom w:w="0" w:type="dxa"/>
            <w:right w:w="108" w:type="dxa"/>
          </w:tblCellMar>
        </w:tblPrEx>
        <w:trPr>
          <w:trHeight w:val="585" w:hRule="exact"/>
          <w:jc w:val="center"/>
        </w:trPr>
        <w:tc>
          <w:tcPr>
            <w:tcW w:w="951"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eastAsia="黑体"/>
                <w:b/>
                <w:bCs/>
                <w:color w:val="000000"/>
                <w:sz w:val="24"/>
              </w:rPr>
            </w:pPr>
          </w:p>
        </w:tc>
        <w:tc>
          <w:tcPr>
            <w:tcW w:w="2053"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eastAsia="黑体"/>
                <w:b/>
                <w:bCs/>
                <w:color w:val="000000"/>
                <w:sz w:val="24"/>
              </w:rPr>
            </w:pP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ind w:firstLine="354" w:firstLineChars="147"/>
              <w:textAlignment w:val="center"/>
              <w:rPr>
                <w:rFonts w:eastAsia="黑体"/>
                <w:b/>
                <w:bCs/>
                <w:color w:val="000000"/>
                <w:sz w:val="24"/>
              </w:rPr>
            </w:pPr>
            <w:r>
              <w:rPr>
                <w:rFonts w:eastAsia="黑体"/>
                <w:b/>
                <w:bCs/>
                <w:color w:val="000000"/>
                <w:kern w:val="0"/>
                <w:sz w:val="24"/>
              </w:rPr>
              <w:t>2024年</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ind w:firstLine="354" w:firstLineChars="147"/>
              <w:textAlignment w:val="center"/>
              <w:rPr>
                <w:rFonts w:eastAsia="黑体"/>
                <w:b/>
                <w:bCs/>
                <w:color w:val="000000"/>
                <w:sz w:val="24"/>
              </w:rPr>
            </w:pPr>
            <w:r>
              <w:rPr>
                <w:rFonts w:eastAsia="黑体"/>
                <w:b/>
                <w:bCs/>
                <w:color w:val="000000"/>
                <w:kern w:val="0"/>
                <w:sz w:val="24"/>
              </w:rPr>
              <w:t>2025年</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ind w:firstLine="354" w:firstLineChars="147"/>
              <w:textAlignment w:val="center"/>
              <w:rPr>
                <w:rFonts w:eastAsia="黑体"/>
                <w:b/>
                <w:bCs/>
                <w:color w:val="000000"/>
                <w:sz w:val="24"/>
              </w:rPr>
            </w:pPr>
            <w:r>
              <w:rPr>
                <w:rFonts w:eastAsia="黑体"/>
                <w:b/>
                <w:bCs/>
                <w:color w:val="000000"/>
                <w:kern w:val="0"/>
                <w:sz w:val="24"/>
              </w:rPr>
              <w:t>2026年</w:t>
            </w:r>
          </w:p>
        </w:tc>
        <w:tc>
          <w:tcPr>
            <w:tcW w:w="1630" w:type="dxa"/>
            <w:vMerge w:val="continue"/>
            <w:tcBorders>
              <w:left w:val="single" w:color="000000" w:sz="4" w:space="0"/>
              <w:bottom w:val="single" w:color="000000" w:sz="4" w:space="0"/>
              <w:right w:val="single" w:color="000000" w:sz="4" w:space="0"/>
            </w:tcBorders>
            <w:noWrap/>
            <w:vAlign w:val="center"/>
          </w:tcPr>
          <w:p>
            <w:pPr>
              <w:widowControl/>
              <w:ind w:firstLine="480"/>
              <w:jc w:val="center"/>
              <w:textAlignment w:val="center"/>
              <w:rPr>
                <w:rFonts w:eastAsia="黑体"/>
                <w:b/>
                <w:bCs/>
                <w:color w:val="000000"/>
                <w:sz w:val="24"/>
              </w:rPr>
            </w:pP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合计</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全区</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11</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11</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33</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1</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税郭镇</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3</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2</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西王庄镇</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3</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3</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孟庄镇</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3</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4</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永安镇</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3</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5</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齐村镇</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3</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6</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光明路街道</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3</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7</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龙山路街道</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3</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8</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hint="eastAsia" w:eastAsia="仿宋"/>
                <w:b/>
                <w:bCs/>
                <w:color w:val="000000"/>
                <w:kern w:val="0"/>
                <w:sz w:val="24"/>
              </w:rPr>
              <w:t>垎</w:t>
            </w:r>
            <w:r>
              <w:rPr>
                <w:rFonts w:eastAsia="仿宋"/>
                <w:b/>
                <w:bCs/>
                <w:color w:val="000000"/>
                <w:kern w:val="0"/>
                <w:sz w:val="24"/>
              </w:rPr>
              <w:t>塔埠街道</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3</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9</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中心街街道</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3</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10</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文化路街道</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3</w:t>
            </w:r>
          </w:p>
        </w:tc>
      </w:tr>
      <w:tr>
        <w:tblPrEx>
          <w:tblLayout w:type="fixed"/>
          <w:tblCellMar>
            <w:top w:w="0" w:type="dxa"/>
            <w:left w:w="108" w:type="dxa"/>
            <w:bottom w:w="0" w:type="dxa"/>
            <w:right w:w="108" w:type="dxa"/>
          </w:tblCellMar>
        </w:tblPrEx>
        <w:trPr>
          <w:trHeight w:val="851" w:hRule="exac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11</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kern w:val="0"/>
                <w:sz w:val="24"/>
              </w:rPr>
              <w:t>矿区街道</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
                <w:b/>
                <w:bCs/>
                <w:color w:val="000000"/>
                <w:sz w:val="24"/>
              </w:rPr>
            </w:pPr>
            <w:r>
              <w:rPr>
                <w:rFonts w:eastAsia="仿宋"/>
                <w:b/>
                <w:bCs/>
                <w:color w:val="000000"/>
                <w:sz w:val="24"/>
              </w:rPr>
              <w:t>3</w:t>
            </w:r>
          </w:p>
        </w:tc>
      </w:tr>
    </w:tbl>
    <w:tbl>
      <w:tblPr>
        <w:tblStyle w:val="13"/>
        <w:tblpPr w:leftFromText="180" w:rightFromText="180" w:vertAnchor="text" w:horzAnchor="page" w:tblpXSpec="center" w:tblpY="665"/>
        <w:tblW w:w="9192" w:type="dxa"/>
        <w:jc w:val="center"/>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9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6" w:hRule="atLeast"/>
          <w:jc w:val="center"/>
        </w:trPr>
        <w:tc>
          <w:tcPr>
            <w:tcW w:w="9192" w:type="dxa"/>
            <w:tcBorders>
              <w:top w:val="single" w:color="auto" w:sz="8" w:space="0"/>
              <w:bottom w:val="single" w:color="auto" w:sz="8" w:space="0"/>
            </w:tcBorders>
            <w:noWrap/>
            <w:vAlign w:val="center"/>
          </w:tcPr>
          <w:p>
            <w:pPr>
              <w:spacing w:line="440" w:lineRule="exact"/>
              <w:rPr>
                <w:rFonts w:eastAsia="仿宋_GB2312"/>
                <w:b/>
                <w:bCs/>
                <w:sz w:val="28"/>
                <w:szCs w:val="28"/>
              </w:rPr>
            </w:pPr>
            <w:r>
              <w:rPr>
                <w:rFonts w:hint="eastAsia" w:eastAsia="仿宋_GB2312"/>
                <w:b/>
                <w:bCs/>
                <w:sz w:val="28"/>
                <w:szCs w:val="28"/>
              </w:rPr>
              <w:t>枣庄市</w:t>
            </w:r>
            <w:r>
              <w:rPr>
                <w:rFonts w:eastAsia="仿宋_GB2312"/>
                <w:b/>
                <w:bCs/>
                <w:sz w:val="28"/>
                <w:szCs w:val="28"/>
              </w:rPr>
              <w:t>市中区人民政府办公室            202</w:t>
            </w:r>
            <w:r>
              <w:rPr>
                <w:rFonts w:hint="eastAsia" w:eastAsia="仿宋_GB2312"/>
                <w:b/>
                <w:bCs/>
                <w:sz w:val="28"/>
                <w:szCs w:val="28"/>
              </w:rPr>
              <w:t>4</w:t>
            </w:r>
            <w:r>
              <w:rPr>
                <w:rFonts w:eastAsia="仿宋_GB2312"/>
                <w:b/>
                <w:bCs/>
                <w:sz w:val="28"/>
                <w:szCs w:val="28"/>
              </w:rPr>
              <w:t>年</w:t>
            </w:r>
            <w:r>
              <w:rPr>
                <w:rFonts w:hint="eastAsia" w:eastAsia="仿宋_GB2312"/>
                <w:b/>
                <w:bCs/>
                <w:sz w:val="28"/>
                <w:szCs w:val="28"/>
              </w:rPr>
              <w:t>2</w:t>
            </w:r>
            <w:r>
              <w:rPr>
                <w:rFonts w:eastAsia="仿宋_GB2312"/>
                <w:b/>
                <w:bCs/>
                <w:sz w:val="28"/>
                <w:szCs w:val="28"/>
              </w:rPr>
              <w:t>月2</w:t>
            </w:r>
            <w:r>
              <w:rPr>
                <w:rFonts w:hint="eastAsia" w:eastAsia="仿宋_GB2312"/>
                <w:b/>
                <w:bCs/>
                <w:sz w:val="28"/>
                <w:szCs w:val="28"/>
              </w:rPr>
              <w:t>9</w:t>
            </w:r>
            <w:r>
              <w:rPr>
                <w:rFonts w:eastAsia="仿宋_GB2312"/>
                <w:b/>
                <w:bCs/>
                <w:sz w:val="28"/>
                <w:szCs w:val="28"/>
              </w:rPr>
              <w:t>日印</w:t>
            </w:r>
            <w:r>
              <w:rPr>
                <w:rFonts w:hint="eastAsia" w:eastAsia="仿宋_GB2312"/>
                <w:b/>
                <w:bCs/>
                <w:sz w:val="28"/>
                <w:szCs w:val="28"/>
              </w:rPr>
              <w:t>发</w:t>
            </w:r>
          </w:p>
        </w:tc>
      </w:tr>
    </w:tbl>
    <w:p>
      <w:pPr>
        <w:ind w:firstLine="643"/>
      </w:pPr>
    </w:p>
    <w:sectPr>
      <w:footerReference r:id="rId4" w:type="first"/>
      <w:footerReference r:id="rId3" w:type="default"/>
      <w:pgSz w:w="11906" w:h="16838"/>
      <w:pgMar w:top="1644" w:right="1644" w:bottom="1644" w:left="1644" w:header="851" w:footer="1077" w:gutter="0"/>
      <w:pgNumType w:start="1"/>
      <w:cols w:space="0" w:num="1"/>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-228600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b/>
                              <w:bCs/>
                              <w:sz w:val="32"/>
                              <w:szCs w:val="32"/>
                            </w:rPr>
                          </w:pPr>
                          <w:r>
                            <w:rPr>
                              <w:b/>
                              <w:bCs/>
                              <w:sz w:val="32"/>
                              <w:szCs w:val="32"/>
                            </w:rPr>
                            <w:t xml:space="preserve">— </w:t>
                          </w: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2</w:t>
                          </w:r>
                          <w:r>
                            <w:rPr>
                              <w:b/>
                              <w:bCs/>
                              <w:sz w:val="32"/>
                              <w:szCs w:val="32"/>
                            </w:rPr>
                            <w:fldChar w:fldCharType="end"/>
                          </w:r>
                          <w:r>
                            <w:rPr>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251662336;mso-width-relative:page;mso-height-relative:page;" filled="f" stroked="f" coordsize="21600,21600" o:gfxdata="UEsDBAoAAAAAAIdO4kAAAAAAAAAAAAAAAAAEAAAAZHJzL1BLAwQUAAAACACHTuJApjjWeN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ONZ41AAAAAgBAAAPAAAA&#10;AAAAAAEAIAAAACIAAABkcnMvZG93bnJldi54bWxQSwECFAAUAAAACACHTuJAgqAHrhkCAAAhBAAA&#10;DgAAAAAAAAABACAAAAAjAQAAZHJzL2Uyb0RvYy54bWxQSwUGAAAAAAYABgBZAQAArgUAAAAA&#10;">
              <v:fill on="f" focussize="0,0"/>
              <v:stroke on="f" weight="0.5pt"/>
              <v:imagedata o:title=""/>
              <o:lock v:ext="edit" aspectratio="f"/>
              <v:textbox inset="0mm,0mm,0mm,0mm" style="mso-fit-shape-to-text:t;">
                <w:txbxContent>
                  <w:p>
                    <w:pPr>
                      <w:pStyle w:val="8"/>
                      <w:rPr>
                        <w:b/>
                        <w:bCs/>
                        <w:sz w:val="32"/>
                        <w:szCs w:val="32"/>
                      </w:rPr>
                    </w:pPr>
                    <w:r>
                      <w:rPr>
                        <w:b/>
                        <w:bCs/>
                        <w:sz w:val="32"/>
                        <w:szCs w:val="32"/>
                      </w:rPr>
                      <w:t xml:space="preserve">— </w:t>
                    </w: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2</w:t>
                    </w:r>
                    <w:r>
                      <w:rPr>
                        <w:b/>
                        <w:bCs/>
                        <w:sz w:val="32"/>
                        <w:szCs w:val="32"/>
                      </w:rPr>
                      <w:fldChar w:fldCharType="end"/>
                    </w:r>
                    <w:r>
                      <w:rPr>
                        <w:b/>
                        <w:bCs/>
                        <w:sz w:val="32"/>
                        <w:szCs w:val="32"/>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t xml:space="preserve">— </w:t>
                          </w:r>
                          <w:r>
                            <w:rPr>
                              <w:rFonts w:hint="eastAsia"/>
                            </w:rPr>
                            <w:t xml:space="preserve">1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8"/>
                    </w:pPr>
                    <w:r>
                      <w:t xml:space="preserve">— </w:t>
                    </w:r>
                    <w:r>
                      <w:rPr>
                        <w:rFonts w:hint="eastAsia"/>
                      </w:rPr>
                      <w:t xml:space="preserve">1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589"/>
  <w:displayHorizont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ZTUwNzlkOTJkYTBjNmI3YTM1N2I5ODdjZGE5NjQifQ=="/>
  </w:docVars>
  <w:rsids>
    <w:rsidRoot w:val="20036F18"/>
    <w:rsid w:val="000207F1"/>
    <w:rsid w:val="000338B1"/>
    <w:rsid w:val="00044604"/>
    <w:rsid w:val="00083E79"/>
    <w:rsid w:val="00093F4C"/>
    <w:rsid w:val="000A2BA7"/>
    <w:rsid w:val="000B3731"/>
    <w:rsid w:val="000D7093"/>
    <w:rsid w:val="000E65AB"/>
    <w:rsid w:val="00182002"/>
    <w:rsid w:val="00261507"/>
    <w:rsid w:val="003575D3"/>
    <w:rsid w:val="0042377A"/>
    <w:rsid w:val="00483C87"/>
    <w:rsid w:val="00492097"/>
    <w:rsid w:val="004C09F9"/>
    <w:rsid w:val="00547DE7"/>
    <w:rsid w:val="0069613C"/>
    <w:rsid w:val="00705442"/>
    <w:rsid w:val="007246E2"/>
    <w:rsid w:val="00757498"/>
    <w:rsid w:val="0079434C"/>
    <w:rsid w:val="007C4496"/>
    <w:rsid w:val="00817940"/>
    <w:rsid w:val="00835BD8"/>
    <w:rsid w:val="00867331"/>
    <w:rsid w:val="008D6D4B"/>
    <w:rsid w:val="00925971"/>
    <w:rsid w:val="00932979"/>
    <w:rsid w:val="00957763"/>
    <w:rsid w:val="009916DB"/>
    <w:rsid w:val="00A23153"/>
    <w:rsid w:val="00A23E6E"/>
    <w:rsid w:val="00A97423"/>
    <w:rsid w:val="00B403A5"/>
    <w:rsid w:val="00CD6E68"/>
    <w:rsid w:val="00D4198B"/>
    <w:rsid w:val="00D50F20"/>
    <w:rsid w:val="00D7731B"/>
    <w:rsid w:val="00DD35BD"/>
    <w:rsid w:val="00DE3782"/>
    <w:rsid w:val="00E77C11"/>
    <w:rsid w:val="00E85507"/>
    <w:rsid w:val="00E95EC6"/>
    <w:rsid w:val="00EB69B7"/>
    <w:rsid w:val="00F24C73"/>
    <w:rsid w:val="00F33410"/>
    <w:rsid w:val="00F77200"/>
    <w:rsid w:val="00FA0751"/>
    <w:rsid w:val="00FC24DA"/>
    <w:rsid w:val="0123584C"/>
    <w:rsid w:val="016C71F3"/>
    <w:rsid w:val="017A659C"/>
    <w:rsid w:val="019404F8"/>
    <w:rsid w:val="01BF37C7"/>
    <w:rsid w:val="01C761D7"/>
    <w:rsid w:val="01FB2325"/>
    <w:rsid w:val="02184C85"/>
    <w:rsid w:val="0250441F"/>
    <w:rsid w:val="03575BB1"/>
    <w:rsid w:val="03A569EC"/>
    <w:rsid w:val="03F60FF6"/>
    <w:rsid w:val="04001E75"/>
    <w:rsid w:val="045D72C7"/>
    <w:rsid w:val="05A21435"/>
    <w:rsid w:val="05A91BD8"/>
    <w:rsid w:val="05D45367"/>
    <w:rsid w:val="05F15F19"/>
    <w:rsid w:val="05FB6D97"/>
    <w:rsid w:val="0687687D"/>
    <w:rsid w:val="06AF5B76"/>
    <w:rsid w:val="06D136D5"/>
    <w:rsid w:val="06D53145"/>
    <w:rsid w:val="06F86E33"/>
    <w:rsid w:val="06FC2DC7"/>
    <w:rsid w:val="072A7934"/>
    <w:rsid w:val="0748600C"/>
    <w:rsid w:val="078A03D3"/>
    <w:rsid w:val="082C3238"/>
    <w:rsid w:val="085A5FF7"/>
    <w:rsid w:val="08737976"/>
    <w:rsid w:val="0874698D"/>
    <w:rsid w:val="08766BA9"/>
    <w:rsid w:val="08B84ACC"/>
    <w:rsid w:val="08BB45BC"/>
    <w:rsid w:val="08D062B9"/>
    <w:rsid w:val="08DD7C14"/>
    <w:rsid w:val="08EC29C7"/>
    <w:rsid w:val="090100F7"/>
    <w:rsid w:val="09104908"/>
    <w:rsid w:val="0913264A"/>
    <w:rsid w:val="092108C3"/>
    <w:rsid w:val="097C7BF2"/>
    <w:rsid w:val="09CF2A12"/>
    <w:rsid w:val="0A2A7C4B"/>
    <w:rsid w:val="0A9E5F43"/>
    <w:rsid w:val="0AA1008A"/>
    <w:rsid w:val="0B077F8D"/>
    <w:rsid w:val="0B220922"/>
    <w:rsid w:val="0B30303F"/>
    <w:rsid w:val="0B33371E"/>
    <w:rsid w:val="0B3E36D4"/>
    <w:rsid w:val="0B6902FF"/>
    <w:rsid w:val="0BAD4690"/>
    <w:rsid w:val="0BB023D2"/>
    <w:rsid w:val="0BC855A4"/>
    <w:rsid w:val="0C032502"/>
    <w:rsid w:val="0C087B18"/>
    <w:rsid w:val="0C1741FF"/>
    <w:rsid w:val="0C252478"/>
    <w:rsid w:val="0C556362"/>
    <w:rsid w:val="0C923886"/>
    <w:rsid w:val="0CCD4054"/>
    <w:rsid w:val="0CD21ED4"/>
    <w:rsid w:val="0CD93263"/>
    <w:rsid w:val="0D2B61B4"/>
    <w:rsid w:val="0DF465A6"/>
    <w:rsid w:val="0E286250"/>
    <w:rsid w:val="0E2F5830"/>
    <w:rsid w:val="0E484B44"/>
    <w:rsid w:val="0E786A65"/>
    <w:rsid w:val="0E7C659C"/>
    <w:rsid w:val="0ECC7523"/>
    <w:rsid w:val="0ECF2B6F"/>
    <w:rsid w:val="0F2A1B00"/>
    <w:rsid w:val="10086339"/>
    <w:rsid w:val="10790FE5"/>
    <w:rsid w:val="10A73DA4"/>
    <w:rsid w:val="10C5247C"/>
    <w:rsid w:val="11276C93"/>
    <w:rsid w:val="11CB5870"/>
    <w:rsid w:val="122B630F"/>
    <w:rsid w:val="122D53F6"/>
    <w:rsid w:val="123F1DBA"/>
    <w:rsid w:val="12A3059B"/>
    <w:rsid w:val="12AA7B7B"/>
    <w:rsid w:val="130354DD"/>
    <w:rsid w:val="1333780E"/>
    <w:rsid w:val="13857CA0"/>
    <w:rsid w:val="13972F77"/>
    <w:rsid w:val="13DA7FEC"/>
    <w:rsid w:val="14157276"/>
    <w:rsid w:val="1419621D"/>
    <w:rsid w:val="14593607"/>
    <w:rsid w:val="14B46A8F"/>
    <w:rsid w:val="14DF1632"/>
    <w:rsid w:val="14E629C1"/>
    <w:rsid w:val="152F0EF9"/>
    <w:rsid w:val="15316332"/>
    <w:rsid w:val="15932B49"/>
    <w:rsid w:val="15DD5B72"/>
    <w:rsid w:val="16781D3E"/>
    <w:rsid w:val="16F413C5"/>
    <w:rsid w:val="176A78D9"/>
    <w:rsid w:val="17A4103D"/>
    <w:rsid w:val="17BB0135"/>
    <w:rsid w:val="17D2722C"/>
    <w:rsid w:val="17F378CF"/>
    <w:rsid w:val="1822758C"/>
    <w:rsid w:val="18273A1C"/>
    <w:rsid w:val="18463EA2"/>
    <w:rsid w:val="18561C0B"/>
    <w:rsid w:val="18AC5CCF"/>
    <w:rsid w:val="18C353BF"/>
    <w:rsid w:val="18DE057F"/>
    <w:rsid w:val="18E5190D"/>
    <w:rsid w:val="19406B43"/>
    <w:rsid w:val="197C2433"/>
    <w:rsid w:val="19C93841"/>
    <w:rsid w:val="1A5F2FF9"/>
    <w:rsid w:val="1A9A2283"/>
    <w:rsid w:val="1AED4AA9"/>
    <w:rsid w:val="1B326960"/>
    <w:rsid w:val="1B5763C6"/>
    <w:rsid w:val="1C2C7853"/>
    <w:rsid w:val="1C6963B1"/>
    <w:rsid w:val="1C7F3E27"/>
    <w:rsid w:val="1C9A47BD"/>
    <w:rsid w:val="1CA55F72"/>
    <w:rsid w:val="1CD64E0A"/>
    <w:rsid w:val="1CE917A1"/>
    <w:rsid w:val="1CF163A7"/>
    <w:rsid w:val="1D195524"/>
    <w:rsid w:val="1D2C4EC2"/>
    <w:rsid w:val="1D322C47"/>
    <w:rsid w:val="1D8D345D"/>
    <w:rsid w:val="1DB00010"/>
    <w:rsid w:val="1DBB0E8E"/>
    <w:rsid w:val="1E0C16EA"/>
    <w:rsid w:val="1E195BB5"/>
    <w:rsid w:val="1E406F8C"/>
    <w:rsid w:val="1E5310C7"/>
    <w:rsid w:val="1EC975DB"/>
    <w:rsid w:val="1F040613"/>
    <w:rsid w:val="1F066139"/>
    <w:rsid w:val="1F1D42CF"/>
    <w:rsid w:val="1FAF67D1"/>
    <w:rsid w:val="1FD94C20"/>
    <w:rsid w:val="20036F18"/>
    <w:rsid w:val="202076CF"/>
    <w:rsid w:val="2044711D"/>
    <w:rsid w:val="205253AE"/>
    <w:rsid w:val="20C4005A"/>
    <w:rsid w:val="21030C20"/>
    <w:rsid w:val="211D3C0E"/>
    <w:rsid w:val="21293D11"/>
    <w:rsid w:val="21303941"/>
    <w:rsid w:val="21374CD0"/>
    <w:rsid w:val="21423675"/>
    <w:rsid w:val="21634839"/>
    <w:rsid w:val="21702D2B"/>
    <w:rsid w:val="21AD4F92"/>
    <w:rsid w:val="21E64000"/>
    <w:rsid w:val="22396826"/>
    <w:rsid w:val="22E22A19"/>
    <w:rsid w:val="23337719"/>
    <w:rsid w:val="233D2346"/>
    <w:rsid w:val="23A61C99"/>
    <w:rsid w:val="23C16AD3"/>
    <w:rsid w:val="2405517A"/>
    <w:rsid w:val="24547947"/>
    <w:rsid w:val="248C5333"/>
    <w:rsid w:val="24EE1B49"/>
    <w:rsid w:val="255A0F8D"/>
    <w:rsid w:val="256718FC"/>
    <w:rsid w:val="25A77DD7"/>
    <w:rsid w:val="25DA0320"/>
    <w:rsid w:val="2665408D"/>
    <w:rsid w:val="26A60202"/>
    <w:rsid w:val="26CA2142"/>
    <w:rsid w:val="26E36D60"/>
    <w:rsid w:val="27455C6D"/>
    <w:rsid w:val="274A1E9B"/>
    <w:rsid w:val="274E68CF"/>
    <w:rsid w:val="27A110F5"/>
    <w:rsid w:val="27B01338"/>
    <w:rsid w:val="281F201A"/>
    <w:rsid w:val="28793E20"/>
    <w:rsid w:val="28D23530"/>
    <w:rsid w:val="28EF5E90"/>
    <w:rsid w:val="299407E6"/>
    <w:rsid w:val="29B6075C"/>
    <w:rsid w:val="2A0A501E"/>
    <w:rsid w:val="2A7D74CC"/>
    <w:rsid w:val="2AC563AB"/>
    <w:rsid w:val="2ADC2444"/>
    <w:rsid w:val="2B3C1135"/>
    <w:rsid w:val="2B487ADA"/>
    <w:rsid w:val="2BAF1907"/>
    <w:rsid w:val="2BF81500"/>
    <w:rsid w:val="2C016606"/>
    <w:rsid w:val="2C1B6F9C"/>
    <w:rsid w:val="2C387B4E"/>
    <w:rsid w:val="2C815051"/>
    <w:rsid w:val="2C972AC7"/>
    <w:rsid w:val="2D1C7470"/>
    <w:rsid w:val="2D23435A"/>
    <w:rsid w:val="2D40315E"/>
    <w:rsid w:val="2D5269EE"/>
    <w:rsid w:val="2D616C31"/>
    <w:rsid w:val="2D6C2F47"/>
    <w:rsid w:val="2DFA08A5"/>
    <w:rsid w:val="2E075A2A"/>
    <w:rsid w:val="2E255A7A"/>
    <w:rsid w:val="2E314855"/>
    <w:rsid w:val="2E4B5DFB"/>
    <w:rsid w:val="2E627104"/>
    <w:rsid w:val="2ED00512"/>
    <w:rsid w:val="2ED7364E"/>
    <w:rsid w:val="2EE95130"/>
    <w:rsid w:val="2F4D3910"/>
    <w:rsid w:val="305667F5"/>
    <w:rsid w:val="30782C0F"/>
    <w:rsid w:val="30A6777C"/>
    <w:rsid w:val="30B24881"/>
    <w:rsid w:val="312F7772"/>
    <w:rsid w:val="318F1FBE"/>
    <w:rsid w:val="31AF2660"/>
    <w:rsid w:val="31F6203D"/>
    <w:rsid w:val="320C1861"/>
    <w:rsid w:val="327A0EC0"/>
    <w:rsid w:val="32C31B5B"/>
    <w:rsid w:val="32D16607"/>
    <w:rsid w:val="32D54349"/>
    <w:rsid w:val="32E75E2A"/>
    <w:rsid w:val="33136C1F"/>
    <w:rsid w:val="331A61FF"/>
    <w:rsid w:val="3330157F"/>
    <w:rsid w:val="34190265"/>
    <w:rsid w:val="342015F4"/>
    <w:rsid w:val="344572AC"/>
    <w:rsid w:val="34763909"/>
    <w:rsid w:val="34934894"/>
    <w:rsid w:val="34977386"/>
    <w:rsid w:val="34C53F49"/>
    <w:rsid w:val="35044A71"/>
    <w:rsid w:val="350C1B78"/>
    <w:rsid w:val="350F549E"/>
    <w:rsid w:val="353635E0"/>
    <w:rsid w:val="35847960"/>
    <w:rsid w:val="35AE2C2F"/>
    <w:rsid w:val="35C10BB4"/>
    <w:rsid w:val="360C107A"/>
    <w:rsid w:val="360F7B72"/>
    <w:rsid w:val="361433DA"/>
    <w:rsid w:val="36497F6A"/>
    <w:rsid w:val="36C56482"/>
    <w:rsid w:val="36D35AD4"/>
    <w:rsid w:val="37A45EF7"/>
    <w:rsid w:val="37A95DA4"/>
    <w:rsid w:val="380B4369"/>
    <w:rsid w:val="382738A7"/>
    <w:rsid w:val="386B727B"/>
    <w:rsid w:val="387E2D8D"/>
    <w:rsid w:val="38997BC6"/>
    <w:rsid w:val="38AF2F46"/>
    <w:rsid w:val="39180E42"/>
    <w:rsid w:val="39301E30"/>
    <w:rsid w:val="397F63D8"/>
    <w:rsid w:val="39902D77"/>
    <w:rsid w:val="3A5F274A"/>
    <w:rsid w:val="3A647D60"/>
    <w:rsid w:val="3A79380C"/>
    <w:rsid w:val="3B082DE1"/>
    <w:rsid w:val="3B6049CB"/>
    <w:rsid w:val="3BC27434"/>
    <w:rsid w:val="3C1D466B"/>
    <w:rsid w:val="3C2B4FD9"/>
    <w:rsid w:val="3C461E13"/>
    <w:rsid w:val="3C4B6B57"/>
    <w:rsid w:val="3C5207B8"/>
    <w:rsid w:val="3C577B7C"/>
    <w:rsid w:val="3C5E715D"/>
    <w:rsid w:val="3C6B3628"/>
    <w:rsid w:val="3C776471"/>
    <w:rsid w:val="3CD218F9"/>
    <w:rsid w:val="3CE533DA"/>
    <w:rsid w:val="3CEA09F1"/>
    <w:rsid w:val="3D74475E"/>
    <w:rsid w:val="3D85696B"/>
    <w:rsid w:val="3DB633CE"/>
    <w:rsid w:val="3DE334C5"/>
    <w:rsid w:val="3DFA2EB5"/>
    <w:rsid w:val="3DFD0F64"/>
    <w:rsid w:val="3E09134A"/>
    <w:rsid w:val="3E330175"/>
    <w:rsid w:val="3E371A14"/>
    <w:rsid w:val="3E43358C"/>
    <w:rsid w:val="3E612F34"/>
    <w:rsid w:val="3E7762B4"/>
    <w:rsid w:val="3ED01E68"/>
    <w:rsid w:val="3F52287D"/>
    <w:rsid w:val="3FD57736"/>
    <w:rsid w:val="405A5E8D"/>
    <w:rsid w:val="40754A75"/>
    <w:rsid w:val="40960549"/>
    <w:rsid w:val="40E439A9"/>
    <w:rsid w:val="4125649B"/>
    <w:rsid w:val="419D4283"/>
    <w:rsid w:val="41A753C6"/>
    <w:rsid w:val="41C95079"/>
    <w:rsid w:val="41D35EF7"/>
    <w:rsid w:val="42392A34"/>
    <w:rsid w:val="4242307D"/>
    <w:rsid w:val="42E163F2"/>
    <w:rsid w:val="43010842"/>
    <w:rsid w:val="43030A5E"/>
    <w:rsid w:val="432509D4"/>
    <w:rsid w:val="434A043B"/>
    <w:rsid w:val="435C1F1C"/>
    <w:rsid w:val="44224F14"/>
    <w:rsid w:val="443864E5"/>
    <w:rsid w:val="44387F8A"/>
    <w:rsid w:val="444F4C93"/>
    <w:rsid w:val="446C2633"/>
    <w:rsid w:val="44A50C4F"/>
    <w:rsid w:val="44FA7C3F"/>
    <w:rsid w:val="44FB0FF6"/>
    <w:rsid w:val="4588524B"/>
    <w:rsid w:val="45B63B66"/>
    <w:rsid w:val="46377A7F"/>
    <w:rsid w:val="46476EB4"/>
    <w:rsid w:val="464F5D68"/>
    <w:rsid w:val="46C44060"/>
    <w:rsid w:val="47134FE8"/>
    <w:rsid w:val="4748500D"/>
    <w:rsid w:val="474E6020"/>
    <w:rsid w:val="47573126"/>
    <w:rsid w:val="477B5067"/>
    <w:rsid w:val="479954ED"/>
    <w:rsid w:val="482358D2"/>
    <w:rsid w:val="48254FD3"/>
    <w:rsid w:val="4839282C"/>
    <w:rsid w:val="486615AE"/>
    <w:rsid w:val="48943F06"/>
    <w:rsid w:val="48AE4FC8"/>
    <w:rsid w:val="48CC18F2"/>
    <w:rsid w:val="492B6619"/>
    <w:rsid w:val="496C4368"/>
    <w:rsid w:val="49900B72"/>
    <w:rsid w:val="499C3073"/>
    <w:rsid w:val="49B760FE"/>
    <w:rsid w:val="49C167BA"/>
    <w:rsid w:val="49CB1BAA"/>
    <w:rsid w:val="49D722FD"/>
    <w:rsid w:val="49D946ED"/>
    <w:rsid w:val="4A0342A2"/>
    <w:rsid w:val="4A124BD2"/>
    <w:rsid w:val="4A272EF1"/>
    <w:rsid w:val="4A8F0E29"/>
    <w:rsid w:val="4A9401EE"/>
    <w:rsid w:val="4AC31BB7"/>
    <w:rsid w:val="4B052E99"/>
    <w:rsid w:val="4B427C4A"/>
    <w:rsid w:val="4B840262"/>
    <w:rsid w:val="4BBF74EC"/>
    <w:rsid w:val="4BD8122C"/>
    <w:rsid w:val="4BEB6533"/>
    <w:rsid w:val="4BFF210F"/>
    <w:rsid w:val="4C871DB8"/>
    <w:rsid w:val="4C87625C"/>
    <w:rsid w:val="4CA24E44"/>
    <w:rsid w:val="4D057181"/>
    <w:rsid w:val="4DA44BEC"/>
    <w:rsid w:val="4DE45D18"/>
    <w:rsid w:val="4E546612"/>
    <w:rsid w:val="4E9764FE"/>
    <w:rsid w:val="4EA13444"/>
    <w:rsid w:val="4F3A5808"/>
    <w:rsid w:val="4F7725B8"/>
    <w:rsid w:val="4F781E8C"/>
    <w:rsid w:val="4FFA4F97"/>
    <w:rsid w:val="50120532"/>
    <w:rsid w:val="50125E3D"/>
    <w:rsid w:val="50720FD1"/>
    <w:rsid w:val="5079410E"/>
    <w:rsid w:val="50923421"/>
    <w:rsid w:val="50C627D0"/>
    <w:rsid w:val="50D13F4A"/>
    <w:rsid w:val="50E02CBA"/>
    <w:rsid w:val="511025DC"/>
    <w:rsid w:val="516F033F"/>
    <w:rsid w:val="51771C53"/>
    <w:rsid w:val="51840FBC"/>
    <w:rsid w:val="51D11D27"/>
    <w:rsid w:val="52047062"/>
    <w:rsid w:val="526112FD"/>
    <w:rsid w:val="5264494A"/>
    <w:rsid w:val="52727066"/>
    <w:rsid w:val="52846D9A"/>
    <w:rsid w:val="532F6D06"/>
    <w:rsid w:val="537E1A3B"/>
    <w:rsid w:val="538057B3"/>
    <w:rsid w:val="53AE0572"/>
    <w:rsid w:val="53D14261"/>
    <w:rsid w:val="53DF24DA"/>
    <w:rsid w:val="54063F0A"/>
    <w:rsid w:val="54BC0A6D"/>
    <w:rsid w:val="54CB0CB0"/>
    <w:rsid w:val="54EF0E42"/>
    <w:rsid w:val="556C4241"/>
    <w:rsid w:val="56CF2CD9"/>
    <w:rsid w:val="571C57F3"/>
    <w:rsid w:val="57771B51"/>
    <w:rsid w:val="57802226"/>
    <w:rsid w:val="578C0BCA"/>
    <w:rsid w:val="57923D07"/>
    <w:rsid w:val="57EC78BB"/>
    <w:rsid w:val="57F549C2"/>
    <w:rsid w:val="582B3C37"/>
    <w:rsid w:val="5886561A"/>
    <w:rsid w:val="58A40196"/>
    <w:rsid w:val="5912218B"/>
    <w:rsid w:val="5919648E"/>
    <w:rsid w:val="59484FC5"/>
    <w:rsid w:val="5955323E"/>
    <w:rsid w:val="59777658"/>
    <w:rsid w:val="59967ADE"/>
    <w:rsid w:val="59BD5897"/>
    <w:rsid w:val="59F6057D"/>
    <w:rsid w:val="5A0C7DA1"/>
    <w:rsid w:val="5A421A14"/>
    <w:rsid w:val="5A44578C"/>
    <w:rsid w:val="5AA4447D"/>
    <w:rsid w:val="5AC661A1"/>
    <w:rsid w:val="5B4478E7"/>
    <w:rsid w:val="5B6065F6"/>
    <w:rsid w:val="5C1A77B4"/>
    <w:rsid w:val="5C2C64D8"/>
    <w:rsid w:val="5C495BB6"/>
    <w:rsid w:val="5C916E88"/>
    <w:rsid w:val="5D2E6280"/>
    <w:rsid w:val="5D445AA3"/>
    <w:rsid w:val="5DA87DE0"/>
    <w:rsid w:val="5DF64FF0"/>
    <w:rsid w:val="5E190CDE"/>
    <w:rsid w:val="5E287173"/>
    <w:rsid w:val="5E40626B"/>
    <w:rsid w:val="5E583CFE"/>
    <w:rsid w:val="5E954808"/>
    <w:rsid w:val="5F4955F3"/>
    <w:rsid w:val="5FB443D2"/>
    <w:rsid w:val="606F06AD"/>
    <w:rsid w:val="609D1752"/>
    <w:rsid w:val="60BA0556"/>
    <w:rsid w:val="60BA67A8"/>
    <w:rsid w:val="613A3445"/>
    <w:rsid w:val="615A3AE7"/>
    <w:rsid w:val="61C251E9"/>
    <w:rsid w:val="61C62F2B"/>
    <w:rsid w:val="61CE1DDF"/>
    <w:rsid w:val="61F96E5C"/>
    <w:rsid w:val="622C5484"/>
    <w:rsid w:val="623065F6"/>
    <w:rsid w:val="625B18C5"/>
    <w:rsid w:val="628F77C1"/>
    <w:rsid w:val="6292105F"/>
    <w:rsid w:val="6299063F"/>
    <w:rsid w:val="62AA63A9"/>
    <w:rsid w:val="62DE42A4"/>
    <w:rsid w:val="63071A4D"/>
    <w:rsid w:val="633A772C"/>
    <w:rsid w:val="634560D1"/>
    <w:rsid w:val="63512CC8"/>
    <w:rsid w:val="63525030"/>
    <w:rsid w:val="6370314E"/>
    <w:rsid w:val="637D3ABD"/>
    <w:rsid w:val="63987633"/>
    <w:rsid w:val="63B82D47"/>
    <w:rsid w:val="63D23E09"/>
    <w:rsid w:val="63D25BB7"/>
    <w:rsid w:val="63E94CAF"/>
    <w:rsid w:val="646A4041"/>
    <w:rsid w:val="64740A1C"/>
    <w:rsid w:val="647B2AB9"/>
    <w:rsid w:val="649E1F3D"/>
    <w:rsid w:val="64DA2ADC"/>
    <w:rsid w:val="64F63B27"/>
    <w:rsid w:val="651025ED"/>
    <w:rsid w:val="65412C81"/>
    <w:rsid w:val="656A1E1F"/>
    <w:rsid w:val="656E7B61"/>
    <w:rsid w:val="65841133"/>
    <w:rsid w:val="65913850"/>
    <w:rsid w:val="65C47781"/>
    <w:rsid w:val="65DC2D1D"/>
    <w:rsid w:val="661A55F3"/>
    <w:rsid w:val="66630D48"/>
    <w:rsid w:val="6683763C"/>
    <w:rsid w:val="6759039D"/>
    <w:rsid w:val="679522B9"/>
    <w:rsid w:val="67A05FCC"/>
    <w:rsid w:val="67FD341E"/>
    <w:rsid w:val="68664B20"/>
    <w:rsid w:val="6931512E"/>
    <w:rsid w:val="693370F8"/>
    <w:rsid w:val="6949691B"/>
    <w:rsid w:val="69D32689"/>
    <w:rsid w:val="6A0B3BD1"/>
    <w:rsid w:val="6A4109EA"/>
    <w:rsid w:val="6B364C7D"/>
    <w:rsid w:val="6BAA7419"/>
    <w:rsid w:val="6BBA4889"/>
    <w:rsid w:val="6BC73521"/>
    <w:rsid w:val="6BF3491C"/>
    <w:rsid w:val="6C0F54CE"/>
    <w:rsid w:val="6C1A634D"/>
    <w:rsid w:val="6C5F1FB2"/>
    <w:rsid w:val="6C6B6BA9"/>
    <w:rsid w:val="6D0D4104"/>
    <w:rsid w:val="6D156B14"/>
    <w:rsid w:val="6D5835D1"/>
    <w:rsid w:val="6D837F22"/>
    <w:rsid w:val="6D9640F9"/>
    <w:rsid w:val="6DA46816"/>
    <w:rsid w:val="6E5A6ED5"/>
    <w:rsid w:val="6E6B2E90"/>
    <w:rsid w:val="6E6E2980"/>
    <w:rsid w:val="6F215C44"/>
    <w:rsid w:val="6F327E52"/>
    <w:rsid w:val="6F3C482C"/>
    <w:rsid w:val="6F7C731F"/>
    <w:rsid w:val="6F8E5E8B"/>
    <w:rsid w:val="6F96218E"/>
    <w:rsid w:val="70370356"/>
    <w:rsid w:val="70476187"/>
    <w:rsid w:val="70674864"/>
    <w:rsid w:val="70C76378"/>
    <w:rsid w:val="71397275"/>
    <w:rsid w:val="71447272"/>
    <w:rsid w:val="725325B9"/>
    <w:rsid w:val="72824C4C"/>
    <w:rsid w:val="72F53670"/>
    <w:rsid w:val="73075151"/>
    <w:rsid w:val="731F06ED"/>
    <w:rsid w:val="73702CF6"/>
    <w:rsid w:val="73832869"/>
    <w:rsid w:val="73AF1A71"/>
    <w:rsid w:val="73BC5F3C"/>
    <w:rsid w:val="73D2750D"/>
    <w:rsid w:val="748F53FE"/>
    <w:rsid w:val="7499002B"/>
    <w:rsid w:val="74B60BDD"/>
    <w:rsid w:val="75241FEA"/>
    <w:rsid w:val="755C3532"/>
    <w:rsid w:val="75C5557C"/>
    <w:rsid w:val="75DC4673"/>
    <w:rsid w:val="76067942"/>
    <w:rsid w:val="761756AB"/>
    <w:rsid w:val="76BB072D"/>
    <w:rsid w:val="76C21ABB"/>
    <w:rsid w:val="76C75323"/>
    <w:rsid w:val="76D8308D"/>
    <w:rsid w:val="76E00193"/>
    <w:rsid w:val="76FB6D7B"/>
    <w:rsid w:val="771147F0"/>
    <w:rsid w:val="77274014"/>
    <w:rsid w:val="775D17E4"/>
    <w:rsid w:val="779F3BAA"/>
    <w:rsid w:val="77D45F4A"/>
    <w:rsid w:val="77E837A3"/>
    <w:rsid w:val="77ED0DBA"/>
    <w:rsid w:val="77F53A38"/>
    <w:rsid w:val="78236589"/>
    <w:rsid w:val="78371BCA"/>
    <w:rsid w:val="785B3F75"/>
    <w:rsid w:val="789B25C4"/>
    <w:rsid w:val="78DD0E2E"/>
    <w:rsid w:val="78E957C2"/>
    <w:rsid w:val="791B1956"/>
    <w:rsid w:val="791D56CF"/>
    <w:rsid w:val="791E4FA3"/>
    <w:rsid w:val="792720A9"/>
    <w:rsid w:val="79314CD6"/>
    <w:rsid w:val="79330A4E"/>
    <w:rsid w:val="79444A09"/>
    <w:rsid w:val="798D2B3B"/>
    <w:rsid w:val="799E27B4"/>
    <w:rsid w:val="7A1D73D0"/>
    <w:rsid w:val="7A5E5F9F"/>
    <w:rsid w:val="7A903C7E"/>
    <w:rsid w:val="7ABD41BC"/>
    <w:rsid w:val="7AD91CD2"/>
    <w:rsid w:val="7AE2097E"/>
    <w:rsid w:val="7B3311D9"/>
    <w:rsid w:val="7B4927AB"/>
    <w:rsid w:val="7B537186"/>
    <w:rsid w:val="7B574981"/>
    <w:rsid w:val="7B917CAE"/>
    <w:rsid w:val="7B933A26"/>
    <w:rsid w:val="7BC40083"/>
    <w:rsid w:val="7BD77DB7"/>
    <w:rsid w:val="7BFD3595"/>
    <w:rsid w:val="7C1F350C"/>
    <w:rsid w:val="7C38637B"/>
    <w:rsid w:val="7C5D7262"/>
    <w:rsid w:val="7C66738C"/>
    <w:rsid w:val="7CC3033B"/>
    <w:rsid w:val="7D1D701A"/>
    <w:rsid w:val="7D3F20B7"/>
    <w:rsid w:val="7DCE6F97"/>
    <w:rsid w:val="7E3808B5"/>
    <w:rsid w:val="7EC565EC"/>
    <w:rsid w:val="7EF740B7"/>
    <w:rsid w:val="7FB16B71"/>
    <w:rsid w:val="7FB742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sz w:val="28"/>
      <w:szCs w:val="20"/>
    </w:rPr>
  </w:style>
  <w:style w:type="character" w:default="1" w:styleId="14">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semiHidden/>
    <w:qFormat/>
    <w:uiPriority w:val="0"/>
    <w:rPr>
      <w:rFonts w:ascii="微软雅黑" w:hAnsi="微软雅黑" w:eastAsia="微软雅黑" w:cs="微软雅黑"/>
      <w:sz w:val="31"/>
      <w:szCs w:val="31"/>
      <w:lang w:eastAsia="en-US"/>
    </w:rPr>
  </w:style>
  <w:style w:type="paragraph" w:styleId="4">
    <w:name w:val="Normal Indent"/>
    <w:basedOn w:val="1"/>
    <w:qFormat/>
    <w:uiPriority w:val="0"/>
    <w:pPr>
      <w:spacing w:line="300" w:lineRule="auto"/>
      <w:ind w:firstLine="560" w:firstLineChars="200"/>
    </w:pPr>
    <w:rPr>
      <w:rFonts w:ascii="宋体"/>
      <w:sz w:val="28"/>
    </w:rPr>
  </w:style>
  <w:style w:type="paragraph" w:styleId="5">
    <w:name w:val="Body Text Indent"/>
    <w:basedOn w:val="1"/>
    <w:unhideWhenUsed/>
    <w:qFormat/>
    <w:uiPriority w:val="99"/>
    <w:pPr>
      <w:spacing w:after="120"/>
      <w:ind w:left="420" w:leftChars="200"/>
    </w:pPr>
    <w:rPr>
      <w:rFonts w:ascii="Calibri" w:hAnsi="Calibri"/>
    </w:rPr>
  </w:style>
  <w:style w:type="paragraph" w:styleId="6">
    <w:name w:val="Body Text Indent 2"/>
    <w:basedOn w:val="1"/>
    <w:qFormat/>
    <w:uiPriority w:val="0"/>
    <w:pPr>
      <w:spacing w:line="520" w:lineRule="exact"/>
      <w:ind w:firstLine="555"/>
    </w:pPr>
    <w:rPr>
      <w:rFonts w:ascii="仿宋_GB2312" w:eastAsia="仿宋_GB2312"/>
      <w:sz w:val="28"/>
    </w:rPr>
  </w:style>
  <w:style w:type="paragraph" w:styleId="7">
    <w:name w:val="Balloon Text"/>
    <w:basedOn w:val="1"/>
    <w:link w:val="19"/>
    <w:semiHidden/>
    <w:unhideWhenUsed/>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kern w:val="0"/>
      <w:sz w:val="24"/>
    </w:rPr>
  </w:style>
  <w:style w:type="paragraph" w:styleId="11">
    <w:name w:val="Body Text First Indent"/>
    <w:basedOn w:val="2"/>
    <w:unhideWhenUsed/>
    <w:qFormat/>
    <w:uiPriority w:val="99"/>
    <w:pPr>
      <w:ind w:firstLine="880" w:firstLineChars="200"/>
    </w:pPr>
  </w:style>
  <w:style w:type="paragraph" w:styleId="12">
    <w:name w:val="Body Text First Indent 2"/>
    <w:basedOn w:val="5"/>
    <w:next w:val="11"/>
    <w:qFormat/>
    <w:uiPriority w:val="0"/>
    <w:pPr>
      <w:spacing w:after="0"/>
      <w:ind w:firstLine="420" w:firstLineChars="200"/>
    </w:pPr>
  </w:style>
  <w:style w:type="character" w:styleId="15">
    <w:name w:val="page number"/>
    <w:basedOn w:val="14"/>
    <w:qFormat/>
    <w:uiPriority w:val="0"/>
  </w:style>
  <w:style w:type="paragraph" w:customStyle="1" w:styleId="16">
    <w:name w:val="BodyText"/>
    <w:basedOn w:val="1"/>
    <w:qFormat/>
    <w:uiPriority w:val="0"/>
    <w:pPr>
      <w:textAlignment w:val="baseline"/>
    </w:pPr>
  </w:style>
  <w:style w:type="character" w:customStyle="1" w:styleId="17">
    <w:name w:val="页眉 Char"/>
    <w:basedOn w:val="14"/>
    <w:link w:val="9"/>
    <w:qFormat/>
    <w:uiPriority w:val="0"/>
    <w:rPr>
      <w:kern w:val="2"/>
      <w:sz w:val="18"/>
      <w:szCs w:val="18"/>
    </w:rPr>
  </w:style>
  <w:style w:type="character" w:customStyle="1" w:styleId="18">
    <w:name w:val="页脚 Char"/>
    <w:basedOn w:val="14"/>
    <w:link w:val="8"/>
    <w:qFormat/>
    <w:uiPriority w:val="99"/>
    <w:rPr>
      <w:kern w:val="2"/>
      <w:sz w:val="18"/>
      <w:szCs w:val="18"/>
    </w:rPr>
  </w:style>
  <w:style w:type="character" w:customStyle="1" w:styleId="19">
    <w:name w:val="批注框文本 Char"/>
    <w:basedOn w:val="14"/>
    <w:link w:val="7"/>
    <w:semiHidden/>
    <w:qFormat/>
    <w:uiPriority w:val="0"/>
    <w:rPr>
      <w:kern w:val="2"/>
      <w:sz w:val="18"/>
      <w:szCs w:val="18"/>
    </w:rPr>
  </w:style>
  <w:style w:type="paragraph" w:customStyle="1" w:styleId="20">
    <w:name w:val="正文首行缩进 21"/>
    <w:basedOn w:val="21"/>
    <w:qFormat/>
    <w:uiPriority w:val="0"/>
    <w:pPr>
      <w:ind w:firstLine="420" w:firstLineChars="200"/>
    </w:pPr>
  </w:style>
  <w:style w:type="paragraph" w:customStyle="1" w:styleId="21">
    <w:name w:val="正文文本缩进1"/>
    <w:basedOn w:val="1"/>
    <w:qFormat/>
    <w:uiPriority w:val="0"/>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863</Words>
  <Characters>4922</Characters>
  <Lines>41</Lines>
  <Paragraphs>11</Paragraphs>
  <TotalTime>2528</TotalTime>
  <ScaleCrop>false</ScaleCrop>
  <LinksUpToDate>false</LinksUpToDate>
  <CharactersWithSpaces>5774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2022-10-19T07:48:00Z</dcterms:created>
  <dc:creator>Administrator</dc:creator>
  <cp:lastModifiedBy>lirong</cp:lastModifiedBy>
  <cp:lastPrinted>2024-02-29T10:03:00Z</cp:lastPrinted>
  <dcterms:modified xsi:type="dcterms:W3CDTF">2024-04-25T07:17:45Z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203BF3B870A340E3BF4D3274DC620969_13</vt:lpwstr>
  </property>
</Properties>
</file>